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E04C4" w14:textId="1EF6C4EC"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Instructions For Claims Under the Family and Medical Leave Act</w:t>
      </w:r>
      <w:r w:rsidR="00F269BF">
        <w:rPr>
          <w:rStyle w:val="FootnoteReference"/>
          <w:b/>
          <w:sz w:val="28"/>
        </w:rPr>
        <w:footnoteReference w:customMarkFollows="1" w:id="2"/>
        <w:t>*</w:t>
      </w:r>
      <w:r w:rsidR="00F269BF">
        <w:rPr>
          <w:b/>
          <w:sz w:val="28"/>
        </w:rPr>
        <w:t xml:space="preserve"> </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lastRenderedPageBreak/>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7"/>
          <w:headerReference w:type="default" r:id="rId8"/>
          <w:footerReference w:type="even" r:id="rId9"/>
          <w:footerReference w:type="default" r:id="rId10"/>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09C0806"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Victorelli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4DC37172"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w:t>
      </w:r>
      <w:r w:rsidRPr="001E4102">
        <w:lastRenderedPageBreak/>
        <w:t>the employer must reinstate the employee to his or her former position or an equivalent, § 2614(a)(1), so long as the employee is able to perform the essential functions of that position.</w:t>
      </w:r>
      <w:r w:rsidRPr="001E4102">
        <w:rPr>
          <w:rStyle w:val="FootnoteReference"/>
        </w:rPr>
        <w:footnoteReference w:id="3"/>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4"/>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49C2C6CB"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w:t>
      </w:r>
      <w:r w:rsidR="004D1880" w:rsidRPr="004D1880">
        <w:t>As further amended in 2009,</w:t>
      </w:r>
      <w:r w:rsidR="00742C50">
        <w:rPr>
          <w:rStyle w:val="FootnoteReference"/>
        </w:rPr>
        <w:footnoteReference w:id="5"/>
      </w:r>
      <w:r w:rsidR="004D1880" w:rsidRPr="004D1880">
        <w:t xml:space="preserve"> Section 2612(a)’s list of leave entitlements includes</w:t>
      </w:r>
      <w:r w:rsidR="00742C50">
        <w:t xml:space="preserve"> </w:t>
      </w:r>
      <w:r w:rsidRPr="001E4102">
        <w:t xml:space="preserve">leave “[b]ecause of any qualifying exigency (as the Secretary shall, by regulation, determine) arising out of the fact that the spouse, or a son, daughter, or parent of the employee is on </w:t>
      </w:r>
      <w:r w:rsidR="00E93443">
        <w:t xml:space="preserve">covered </w:t>
      </w:r>
      <w:r w:rsidRPr="001E4102">
        <w:t>active duty (or has been notified of an impending call or order to</w:t>
      </w:r>
      <w:r w:rsidR="002D4596">
        <w:t xml:space="preserve"> covered</w:t>
      </w:r>
      <w:r w:rsidRPr="001E4102">
        <w:t xml:space="preserve"> active duty) in the Armed Forces.” 29 U.S.C. § 2612(a)(1)(E). The</w:t>
      </w:r>
      <w:r w:rsidR="009C0961">
        <w:t xml:space="preserve"> 2008</w:t>
      </w:r>
      <w:r w:rsidRPr="001E4102">
        <w:t xml:space="preserve"> amendments also created an entitlement to servicemember family leave: “Subject to section 2613 of this title, an eligible employee who is the spouse, son, daughter, parent, or next of kin of a covered servicemember shall be entitled to a total of 26 workweeks of leave </w:t>
      </w:r>
      <w:r w:rsidRPr="001E4102">
        <w:lastRenderedPageBreak/>
        <w:t xml:space="preserve">during a 12-month period to care for the servicemember. The leave described in this paragraph shall only be available during a single 12-month period.”  </w:t>
      </w:r>
      <w:r w:rsidRPr="001E4102">
        <w:rPr>
          <w:i/>
        </w:rPr>
        <w:t>Id.</w:t>
      </w:r>
      <w:r w:rsidRPr="001E4102">
        <w:t xml:space="preserve"> § 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1EF2D98B"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6"/>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075F87E9"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w:t>
      </w:r>
      <w:r w:rsidR="001332C7">
        <w:t>U.S.C.</w:t>
      </w:r>
      <w:r w:rsidRPr="001E4102">
        <w:t xml:space="preserve">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r w:rsidRPr="001E4102">
        <w:rPr>
          <w:i/>
        </w:rPr>
        <w:lastRenderedPageBreak/>
        <w:t>Haybarger v. Lawrence Cnty. Adult Prob. &amp; Parole</w:t>
      </w:r>
      <w:r w:rsidRPr="001E4102">
        <w:t xml:space="preserve">, 667 F.3d 408, 417 (3d Cir. 2012) (quoting </w:t>
      </w:r>
      <w:r w:rsidRPr="001E4102">
        <w:rPr>
          <w:i/>
        </w:rPr>
        <w:t>Riordan v. Kempiners</w:t>
      </w:r>
      <w:r w:rsidRPr="001E4102">
        <w:t xml:space="preserve">, 831 F.2d 690, 694 (7th Cir. 1987)).  The </w:t>
      </w:r>
      <w:r w:rsidRPr="001E4102">
        <w:rPr>
          <w:i/>
        </w:rPr>
        <w:t xml:space="preserve">Haybarger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 xml:space="preserve">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w:t>
      </w:r>
      <w:r w:rsidRPr="001E4102">
        <w:lastRenderedPageBreak/>
        <w:t>§ 2611(12); 29 C.F.R. § 825.122(</w:t>
      </w:r>
      <w:r w:rsidR="00021735" w:rsidRPr="001E4102">
        <w:t>d</w:t>
      </w:r>
      <w:r w:rsidRPr="001E4102">
        <w:t>). Persons with “in loco parentis” status under the FMLA 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 xml:space="preserve">)(1). “Activities of daily living” include adaptive activities such as caring appropriately for one’s grooming and hygiene, bathing, dressing and eating. </w:t>
      </w:r>
      <w:r w:rsidRPr="00497AB4">
        <w:rPr>
          <w:i/>
        </w:rPr>
        <w:t>Id</w:t>
      </w:r>
      <w:r w:rsidRPr="001E4102">
        <w:t>. “Instrumental activities of daily living”</w:t>
      </w:r>
      <w:r w:rsidR="00371FEC" w:rsidRPr="001E4102">
        <w:t xml:space="preserve"> </w:t>
      </w:r>
      <w:r w:rsidRPr="001E4102">
        <w:t xml:space="preserve">include cooking, cleaning, shopping, taking public transportation, paying bills, maintaining a residence, using telephones and directories, using a post office, etc. </w:t>
      </w:r>
      <w:r w:rsidRPr="00497AB4">
        <w:rPr>
          <w:i/>
        </w:rPr>
        <w:t>Id</w:t>
      </w:r>
      <w:r w:rsidRPr="001E4102">
        <w:t>. “Physical or mental disability” means a physical or mental impairment that substantially limits one or more of the major life activities of an individual. 29 C.F.R. § 825.122(</w:t>
      </w:r>
      <w:r w:rsidR="005C1C73" w:rsidRPr="001E4102">
        <w:t>d</w:t>
      </w:r>
      <w:r w:rsidRPr="001E4102">
        <w:t xml:space="preserve">)(2). These terms are defined in the same manner as they are under the Americans with Disabilities Act. </w:t>
      </w:r>
      <w:r w:rsidRPr="00497AB4">
        <w:rPr>
          <w:i/>
        </w:rPr>
        <w:t>Id</w:t>
      </w:r>
      <w:r w:rsidRPr="001E4102">
        <w:t>.</w:t>
      </w:r>
    </w:p>
    <w:p w14:paraId="3B180510" w14:textId="7E023EFF"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“[p]arent means a biological, adoptive, step or foster father or mother, or any other individual who stood in loco parentis to the employee when the employee was a son or daughter as defined in paragraph (d) of this section. This term does not include parents ‘in law.’</w:t>
      </w:r>
      <w:r w:rsidR="00DF3239">
        <w:t xml:space="preserve"> </w:t>
      </w:r>
      <w:r w:rsidR="001D5FA8" w:rsidRPr="001D5FA8">
        <w:t>”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r w:rsidRPr="001E4102">
        <w:rPr>
          <w:i/>
        </w:rPr>
        <w:t>Stekloff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5D81E964"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w:t>
      </w:r>
      <w:r w:rsidR="004F1FE7" w:rsidRPr="00497AB4">
        <w:rPr>
          <w:i/>
        </w:rPr>
        <w:t>id</w:t>
      </w:r>
      <w:r w:rsidR="004F1FE7" w:rsidRPr="001E4102">
        <w:t xml:space="preserve">. § 2613(d) (providing for “[r]esolution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w:t>
      </w:r>
      <w:r w:rsidR="00DF3239">
        <w:t>’ ”</w:t>
      </w:r>
      <w:r w:rsidR="00E01AA2">
        <w:t xml:space="preserve"> </w:t>
      </w:r>
      <w:r w:rsidR="00E01AA2" w:rsidRPr="00E01AA2">
        <w:rPr>
          <w:i/>
        </w:rPr>
        <w:t>Hansler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r w:rsidR="004F1FE7" w:rsidRPr="001E4102">
        <w:rPr>
          <w:i/>
        </w:rPr>
        <w:t>Budhun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r w:rsidR="004F1FE7" w:rsidRPr="001E4102">
        <w:rPr>
          <w:i/>
        </w:rPr>
        <w:t>Budhun</w:t>
      </w:r>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A858E99" w:rsidR="006154EC"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0BC8521" w14:textId="04B21B66" w:rsidR="00CD21E8" w:rsidRPr="00CD21E8" w:rsidRDefault="00CD21E8" w:rsidP="00CD21E8">
      <w:pPr>
        <w:spacing w:after="240"/>
        <w:jc w:val="center"/>
        <w:rPr>
          <w:i/>
          <w:iCs/>
        </w:rPr>
      </w:pPr>
      <w:r>
        <w:rPr>
          <w:i/>
          <w:iCs/>
        </w:rPr>
        <w:t>Ministerial exception</w:t>
      </w:r>
    </w:p>
    <w:p w14:paraId="6E970C49" w14:textId="76EDA692" w:rsidR="00175BBC" w:rsidRPr="006C7D9E" w:rsidRDefault="006154EC" w:rsidP="00617123">
      <w:pPr>
        <w:shd w:val="clear" w:color="auto" w:fill="FFFFFF" w:themeFill="background1"/>
        <w:spacing w:after="240"/>
        <w:jc w:val="both"/>
        <w:rPr>
          <w:strike/>
        </w:rPr>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132 S. Ct. 694, 702, 709 n.4 (2012)</w:t>
      </w:r>
      <w:r w:rsidR="00617123">
        <w:t xml:space="preserve"> (</w:t>
      </w:r>
      <w:r w:rsidR="00175BBC" w:rsidRPr="006C7D9E">
        <w:rPr>
          <w:szCs w:val="24"/>
        </w:rPr>
        <w:t xml:space="preserve">foreclosing a retaliation claim under the Americans with Disabilities Act). </w:t>
      </w:r>
      <w:r w:rsidR="00175BBC" w:rsidRPr="006C7D9E">
        <w:rPr>
          <w:i/>
          <w:iCs/>
          <w:szCs w:val="24"/>
        </w:rPr>
        <w:t>See also</w:t>
      </w:r>
      <w:r w:rsidR="00175BBC" w:rsidRPr="006C7D9E">
        <w:rPr>
          <w:szCs w:val="24"/>
        </w:rPr>
        <w:t xml:space="preserve"> </w:t>
      </w:r>
      <w:r w:rsidR="00175BBC" w:rsidRPr="006C7D9E">
        <w:rPr>
          <w:i/>
          <w:szCs w:val="24"/>
        </w:rPr>
        <w:t xml:space="preserve">Our Lady of Guadalupe School v. Morrissey-Berru, </w:t>
      </w:r>
      <w:r w:rsidR="00175BBC">
        <w:rPr>
          <w:szCs w:val="24"/>
        </w:rPr>
        <w:t>140 S. Ct. 1149</w:t>
      </w:r>
      <w:r w:rsidR="00175BBC" w:rsidRPr="006C7D9E">
        <w:rPr>
          <w:szCs w:val="24"/>
        </w:rPr>
        <w:t xml:space="preserve"> (2020) (foreclosing discrimination claims under the Age Discrimination in Employment Act and ADA). There is little doubt that the exception applies to other federal and state antidiscrimination statutes regardless of whether the adverse action is based on religious or secular concerns. </w:t>
      </w:r>
    </w:p>
    <w:p w14:paraId="33BF2DDA" w14:textId="77777777" w:rsidR="00175BBC" w:rsidRPr="006C7D9E" w:rsidRDefault="00175BBC" w:rsidP="00617123">
      <w:pPr>
        <w:shd w:val="clear" w:color="auto" w:fill="FFFFFF" w:themeFill="background1"/>
        <w:spacing w:after="240"/>
        <w:jc w:val="both"/>
        <w:rPr>
          <w:szCs w:val="24"/>
        </w:rPr>
      </w:pPr>
      <w:r w:rsidRPr="006C7D9E">
        <w:rPr>
          <w:szCs w:val="24"/>
        </w:rPr>
        <w:tab/>
        <w:t xml:space="preserve">However, neither </w:t>
      </w:r>
      <w:r w:rsidRPr="006C7D9E">
        <w:rPr>
          <w:i/>
          <w:szCs w:val="24"/>
        </w:rPr>
        <w:t>Hosanna-Tabor</w:t>
      </w:r>
      <w:r w:rsidRPr="006C7D9E">
        <w:rPr>
          <w:szCs w:val="24"/>
        </w:rPr>
        <w:t xml:space="preserve"> nor </w:t>
      </w:r>
      <w:r w:rsidRPr="006C7D9E">
        <w:rPr>
          <w:i/>
          <w:szCs w:val="24"/>
        </w:rPr>
        <w:t>Our Lady of Guadalupe</w:t>
      </w:r>
      <w:r w:rsidRPr="006C7D9E">
        <w:rPr>
          <w:szCs w:val="24"/>
        </w:rPr>
        <w:t xml:space="preserve"> involved claims relating to terms and conditions of employment as opposed to the selection and retention of “ministers.” Thus, the </w:t>
      </w:r>
      <w:r>
        <w:rPr>
          <w:szCs w:val="24"/>
        </w:rPr>
        <w:t xml:space="preserve">application </w:t>
      </w:r>
      <w:r w:rsidRPr="006C7D9E">
        <w:rPr>
          <w:szCs w:val="24"/>
        </w:rPr>
        <w:t xml:space="preserve">of those decisions </w:t>
      </w:r>
      <w:r>
        <w:rPr>
          <w:szCs w:val="24"/>
        </w:rPr>
        <w:t>to</w:t>
      </w:r>
      <w:r w:rsidRPr="006C7D9E">
        <w:rPr>
          <w:szCs w:val="24"/>
        </w:rPr>
        <w:t xml:space="preserve"> the FMLA </w:t>
      </w:r>
      <w:r>
        <w:rPr>
          <w:szCs w:val="24"/>
        </w:rPr>
        <w:t>is</w:t>
      </w:r>
      <w:r w:rsidRPr="006C7D9E">
        <w:rPr>
          <w:szCs w:val="24"/>
        </w:rPr>
        <w:t xml:space="preserve"> unclear. </w:t>
      </w:r>
      <w:r w:rsidRPr="006C7D9E">
        <w:rPr>
          <w:i/>
          <w:szCs w:val="24"/>
        </w:rPr>
        <w:t>See also Petruska</w:t>
      </w:r>
      <w:r w:rsidRPr="006C7D9E">
        <w:rPr>
          <w:szCs w:val="24"/>
        </w:rPr>
        <w:t xml:space="preserve">, 462 F.3d at 308 n.11 </w:t>
      </w:r>
      <w:r w:rsidRPr="006C7D9E">
        <w:rPr>
          <w:szCs w:val="24"/>
        </w:rPr>
        <w:lastRenderedPageBreak/>
        <w:t xml:space="preserve">(noting that the </w:t>
      </w:r>
      <w:r>
        <w:rPr>
          <w:szCs w:val="24"/>
        </w:rPr>
        <w:t>C</w:t>
      </w:r>
      <w:r w:rsidRPr="006C7D9E">
        <w:rPr>
          <w:szCs w:val="24"/>
        </w:rPr>
        <w:t>ourt was not deciding whether the ministerial exception would bar claims for hostile work environment sexual harassment). For further discussion of the ministerial exception, see Comment 5.0.</w:t>
      </w:r>
    </w:p>
    <w:p w14:paraId="29AFCBA4" w14:textId="77777777" w:rsidR="00B4350F" w:rsidRPr="00B4350F" w:rsidRDefault="00B4350F" w:rsidP="00B4350F">
      <w:pPr>
        <w:spacing w:after="240"/>
        <w:jc w:val="center"/>
        <w:rPr>
          <w:i/>
        </w:rPr>
      </w:pPr>
      <w:r w:rsidRPr="00B4350F">
        <w:rPr>
          <w:i/>
        </w:rPr>
        <w:t xml:space="preserve">Potential overlap between ADA reasonable-accommodation claims and FMLA claims  </w:t>
      </w:r>
    </w:p>
    <w:p w14:paraId="23A1A285" w14:textId="5824261F" w:rsidR="005431F9" w:rsidRPr="001E4102" w:rsidRDefault="00B4350F" w:rsidP="00B4350F">
      <w:pPr>
        <w:spacing w:after="240"/>
        <w:jc w:val="both"/>
        <w:sectPr w:rsidR="005431F9" w:rsidRPr="001E4102" w:rsidSect="0072581A">
          <w:headerReference w:type="default" r:id="rId11"/>
          <w:pgSz w:w="12240" w:h="15840"/>
          <w:pgMar w:top="1920" w:right="1440" w:bottom="1920" w:left="1440" w:header="900" w:footer="1440" w:gutter="0"/>
          <w:lnNumType w:countBy="1" w:distance="576" w:restart="newSection"/>
          <w:cols w:space="720"/>
          <w:docGrid w:linePitch="326"/>
        </w:sectPr>
      </w:pPr>
      <w:r>
        <w:tab/>
        <w:t xml:space="preserve">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rights. ADA’s ‘disability’ and FMLA’s ‘serious health condition’ are different concepts, and must be analyzed separately.” 29 C.F.R. § 825.702(b). “[A] request for FMLA leave may qualify, under certain circumstances, as a request for a reasonable accommodation under the ADA.” </w:t>
      </w:r>
      <w:r w:rsidRPr="00B4350F">
        <w:rPr>
          <w:i/>
        </w:rPr>
        <w:t>Capps v. Mondelez Glob., LLC</w:t>
      </w:r>
      <w:r>
        <w:t xml:space="preserve">, 847 F.3d 144, 156-57 (3d Cir. 2017) (upholding grant of summary judgment to defendant because, “even assuming, </w:t>
      </w:r>
      <w:r w:rsidRPr="000B34D8">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Elements of an FMLA Claim— Interference With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7"/>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8"/>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9"/>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10"/>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11"/>
      </w:r>
    </w:p>
    <w:p w14:paraId="48AFDDEE" w14:textId="4672A7B9" w:rsidR="006154EC" w:rsidRPr="001E4102" w:rsidRDefault="006154EC" w:rsidP="009C6F31">
      <w:pPr>
        <w:spacing w:after="240"/>
        <w:ind w:left="1440"/>
        <w:jc w:val="both"/>
      </w:pPr>
      <w:r w:rsidRPr="001E4102">
        <w:t>3) ordering an employee not to take leave or discouraging an employee from taking leave;</w:t>
      </w:r>
      <w:r w:rsidR="00AF52BE">
        <w:rPr>
          <w:rStyle w:val="FootnoteReference"/>
        </w:rPr>
        <w:footnoteReference w:id="12"/>
      </w:r>
      <w:r w:rsidRPr="001E4102">
        <w:t xml:space="preser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332C7">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Ross v. Gilhuly</w:t>
      </w:r>
      <w:r w:rsidR="00F970EA" w:rsidRPr="001E4102">
        <w:t xml:space="preserve">, 755 F.3d 185, 191-92 (3d Cir. 2014) (quoting </w:t>
      </w:r>
      <w:r w:rsidR="00F970EA" w:rsidRPr="001E4102">
        <w:rPr>
          <w:i/>
        </w:rPr>
        <w:t>Johnson v. Cmty. Coll. of Allegheny Cnty.</w:t>
      </w:r>
      <w:r w:rsidR="00F970EA" w:rsidRPr="001E4102">
        <w:t>, 566 F. Supp. 2d 405, 446 (W.D. Pa. 2008)).</w:t>
      </w:r>
      <w:r w:rsidR="00F970EA" w:rsidRPr="001E4102">
        <w:rPr>
          <w:rStyle w:val="FootnoteReference"/>
        </w:rPr>
        <w:footnoteReference w:id="13"/>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5F2124E5"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w:t>
      </w:r>
      <w:r w:rsidR="00FD46EB">
        <w:t xml:space="preserve"> </w:t>
      </w:r>
      <w:r w:rsidR="006154EC" w:rsidRPr="001E4102">
        <w:t>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w:t>
      </w:r>
      <w:r w:rsidRPr="001E4102">
        <w:lastRenderedPageBreak/>
        <w:t>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2614(a)(1). . .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Callison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2094B8A0"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Shenango, Inc., </w:t>
      </w:r>
      <w:r w:rsidRPr="001E4102">
        <w:t>986 F. Supp. 309, 317 (W</w:t>
      </w:r>
      <w:r w:rsidR="001332C7">
        <w:t>.D. Pa.</w:t>
      </w:r>
      <w:r w:rsidRPr="001E4102">
        <w:t xml:space="preserve"> 1997) (finding that “a claim under §  2615(a)(1) is governed by a strict liability standard”); </w:t>
      </w:r>
      <w:r w:rsidRPr="001E4102">
        <w:rPr>
          <w:i/>
        </w:rPr>
        <w:t>Moorer v. Baptist Memorial Health Care</w:t>
      </w:r>
      <w:r w:rsidRPr="001E4102">
        <w:t>, 398 F.3d 469, 487 (6</w:t>
      </w:r>
      <w:r w:rsidR="001332C7" w:rsidRPr="001332C7">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001332C7" w:rsidRPr="001332C7">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lastRenderedPageBreak/>
        <w:t xml:space="preserve">The Third Circuit has not considered whether this regulation places the burden on the employer. The Tenth Circuit has held that it does and functions like an affirmative defense.  </w:t>
      </w:r>
      <w:r w:rsidRPr="001E4102">
        <w:rPr>
          <w:i/>
        </w:rPr>
        <w:t>Smith v. Diffee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047BA1A1" w:rsidR="006154EC" w:rsidRPr="001E4102" w:rsidRDefault="006154EC" w:rsidP="009C6F31">
      <w:pPr>
        <w:spacing w:after="240"/>
        <w:jc w:val="both"/>
      </w:pPr>
      <w:r w:rsidRPr="001E4102">
        <w:t>234 F. Supp.</w:t>
      </w:r>
      <w:r w:rsidR="00FD46EB">
        <w:t xml:space="preserve"> </w:t>
      </w:r>
      <w:r w:rsidRPr="001E4102">
        <w:t xml:space="preserve">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Throneberry v. McGehee Desha County Hosp., </w:t>
      </w:r>
      <w:r w:rsidRPr="001E4102">
        <w:t>403 F.3d 972 (8</w:t>
      </w:r>
      <w:r w:rsidR="001332C7" w:rsidRPr="001332C7">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3DE7ED61" w:rsidR="006154EC" w:rsidRPr="001E4102" w:rsidRDefault="006154EC" w:rsidP="009C6F31">
      <w:pPr>
        <w:spacing w:after="240"/>
        <w:jc w:val="both"/>
      </w:pPr>
      <w:r w:rsidRPr="001E4102">
        <w:lastRenderedPageBreak/>
        <w:tab/>
        <w:t xml:space="preserve">“[F]iring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r w:rsidR="00A55ED6" w:rsidRPr="001E4102">
        <w:rPr>
          <w:i/>
        </w:rPr>
        <w:t>Budhun</w:t>
      </w:r>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Gilhuly</w:t>
      </w:r>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r w:rsidR="00252BF2">
        <w:t xml:space="preserve">; </w:t>
      </w:r>
      <w:r w:rsidR="00252BF2" w:rsidRPr="00252BF2">
        <w:rPr>
          <w:i/>
        </w:rPr>
        <w:t>Capps v. Mondelez Glob., LLC</w:t>
      </w:r>
      <w:r w:rsidR="00252BF2" w:rsidRPr="00252BF2">
        <w:t xml:space="preserve">, 847 F.3d 144, 156 (3d Cir. 2017) (citing </w:t>
      </w:r>
      <w:r w:rsidR="00252BF2" w:rsidRPr="00252BF2">
        <w:rPr>
          <w:i/>
        </w:rPr>
        <w:t>Ross</w:t>
      </w:r>
      <w:r w:rsidR="00252BF2" w:rsidRPr="00252BF2">
        <w:t xml:space="preserve"> and holding that “[u]nder the specific circumstances in this case” termination after employee’s return from FMLA leave did not give rise to an FMLA interference claim)</w:t>
      </w:r>
      <w:r w:rsidRPr="001E4102">
        <w:t>.</w:t>
      </w:r>
    </w:p>
    <w:p w14:paraId="74A18525" w14:textId="15F44641" w:rsidR="000A311E" w:rsidRDefault="006154EC" w:rsidP="000A311E">
      <w:pPr>
        <w:spacing w:after="240"/>
        <w:jc w:val="both"/>
      </w:pPr>
      <w:r w:rsidRPr="001E4102">
        <w:tab/>
      </w:r>
      <w:r w:rsidR="005B4608">
        <w:t xml:space="preserve">29 C.F.R. § </w:t>
      </w:r>
      <w:r w:rsidRPr="001E4102">
        <w:t xml:space="preserve">825.220(b) defines </w:t>
      </w:r>
      <w:r w:rsidR="006E54B2">
        <w:t>“interference” as including “</w:t>
      </w:r>
      <w:r w:rsidRPr="001E4102">
        <w:t xml:space="preserve">not only refusing to authorize FMLA leave, but discouraging an employee from using such leave.” </w:t>
      </w:r>
      <w:r w:rsidR="000A311E">
        <w:t xml:space="preserve">Some lower-court caselaw could be read to suggest that even </w:t>
      </w:r>
      <w:r w:rsidR="000A311E" w:rsidRPr="00B84500">
        <w:rPr>
          <w:i/>
        </w:rPr>
        <w:t>unsuccessful</w:t>
      </w:r>
      <w:r w:rsidR="000A311E">
        <w:t xml:space="preserve"> attempts to discourage the exercise of FMLA rights may constitute interference.  </w:t>
      </w:r>
      <w:r w:rsidR="000A311E" w:rsidRPr="00705E77">
        <w:rPr>
          <w:i/>
        </w:rPr>
        <w:t>See, e.g</w:t>
      </w:r>
      <w:r w:rsidR="000A311E">
        <w:t xml:space="preserve">., </w:t>
      </w:r>
      <w:r w:rsidR="000A311E" w:rsidRPr="00705E77">
        <w:rPr>
          <w:i/>
        </w:rPr>
        <w:t>Shtab v. The Greate Bay Hotel and Casino</w:t>
      </w:r>
      <w:r w:rsidR="000A311E">
        <w:t>, 173 F. Supp.</w:t>
      </w:r>
      <w:r w:rsidR="00FD46EB">
        <w:t xml:space="preserve"> </w:t>
      </w:r>
      <w:r w:rsidR="000A311E">
        <w:t xml:space="preserve">2d 255, 267-68 (D.N.J. 2001); </w:t>
      </w:r>
      <w:r w:rsidR="000A311E" w:rsidRPr="00705E77">
        <w:rPr>
          <w:i/>
        </w:rPr>
        <w:t>Williams v. Shenango, Inc</w:t>
      </w:r>
      <w:r w:rsidR="000A311E">
        <w:t xml:space="preserve">., 986 F. Supp. 309, 321 (W.D. Pa. 1997).  But the Court of Appeals </w:t>
      </w:r>
      <w:r w:rsidR="00705E77">
        <w:t xml:space="preserve">has adopted the opposite view. </w:t>
      </w:r>
      <w:r w:rsidR="000A311E">
        <w:t xml:space="preserve">In </w:t>
      </w:r>
      <w:r w:rsidR="000A311E" w:rsidRPr="00705E77">
        <w:rPr>
          <w:i/>
        </w:rPr>
        <w:t>Fraternal Order of Police v. City of Camden</w:t>
      </w:r>
      <w:r w:rsidR="000A311E">
        <w:t>, 842 F.3d 231, 245 (3d Cir. 2016), the plaintiff based his FMLA-interference claim on the fact that, though he was approved for (and took) FMLA leave to care for his mother, he was “warned that he was using too much leave”; “placed in the ‘Chronic Sick Category</w:t>
      </w:r>
      <w:r w:rsidR="00DF3239">
        <w:t>’ ”</w:t>
      </w:r>
      <w:r w:rsidR="000A311E">
        <w:t xml:space="preserve"> and warned of eventual future discipline; and “visited … at home while he was on leave.” </w:t>
      </w:r>
      <w:r w:rsidR="000A311E" w:rsidRPr="00705E77">
        <w:rPr>
          <w:i/>
        </w:rPr>
        <w:t>Fraternal Order of Police</w:t>
      </w:r>
      <w:r w:rsidR="000A311E">
        <w:t>, 842 F.3d at 245.  The Court of Appeals, noting that the plaintiff relied both on 29 C.F.R. §</w:t>
      </w:r>
      <w:r w:rsidR="00705E77">
        <w:t> </w:t>
      </w:r>
      <w:r w:rsidR="000A311E">
        <w:t xml:space="preserve">825.220(b) and on </w:t>
      </w:r>
      <w:r w:rsidR="000A311E" w:rsidRPr="00705E77">
        <w:rPr>
          <w:i/>
        </w:rPr>
        <w:t>Shtab</w:t>
      </w:r>
      <w:r w:rsidR="000A311E">
        <w:t xml:space="preserve">, rejected the plaintiff’s arguments on two grounds.  First, it held that the level of discouragement was insufficient to constitute interference. </w:t>
      </w:r>
      <w:r w:rsidR="000A311E" w:rsidRPr="00705E77">
        <w:rPr>
          <w:i/>
        </w:rPr>
        <w:t>See Fraternal Order of Police</w:t>
      </w:r>
      <w:r w:rsidR="000A311E">
        <w:t xml:space="preserve">, 842 F.3d at 246 (“Camden officials only visited Officer Holland once while he was on leave, and we agree that this was minimally intrusive.… Camden’s actions … were not beyond the limitations the FMLA places on employers attempting to manage their workplaces….”).  Second, the Court of Appeals stressed that the FMLA authorizes no remedy unless the plaintiff has been harmed by the defendant’s conduct.  </w:t>
      </w:r>
      <w:r w:rsidR="000A311E" w:rsidRPr="00705E77">
        <w:rPr>
          <w:i/>
        </w:rPr>
        <w:t>See id</w:t>
      </w:r>
      <w:r w:rsidR="000A311E">
        <w:t>. (“Officer Holland does not allege he was actually denied FMLA leave. In fact, he concedes that he was able to take time off to care for his mother.”).</w:t>
      </w:r>
    </w:p>
    <w:p w14:paraId="33D18C5D" w14:textId="3C33CE72" w:rsidR="006154EC" w:rsidRPr="001E4102" w:rsidRDefault="000A311E" w:rsidP="009C6F31">
      <w:pPr>
        <w:spacing w:after="240"/>
        <w:jc w:val="both"/>
      </w:pPr>
      <w:r>
        <w:tab/>
        <w:t>As the preceding discussion suggests, t</w:t>
      </w:r>
      <w:r w:rsidR="006154EC" w:rsidRPr="001E4102">
        <w:t xml:space="preserve">he FMLA does not prohibit reasonable attempts by the employer to protect against abuses in taking leave. Thus, in </w:t>
      </w:r>
      <w:r w:rsidR="006154EC" w:rsidRPr="001E4102">
        <w:rPr>
          <w:i/>
        </w:rPr>
        <w:t xml:space="preserve">Callison v. City of Philadelphia, </w:t>
      </w:r>
      <w:r w:rsidR="006154EC"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w:t>
      </w:r>
      <w:r w:rsidR="006154EC" w:rsidRPr="001E4102">
        <w:lastRenderedPageBreak/>
        <w:t xml:space="preserve">disagreed, stating that the FMLA does not prevent employers “from ensuring that employees who are on leave from work do not abuse their leave.”  Bracketed material in the instruction is consistent with the </w:t>
      </w:r>
      <w:r w:rsidR="006154EC" w:rsidRPr="001E4102">
        <w:rPr>
          <w:i/>
        </w:rPr>
        <w:t xml:space="preserve">Callison </w:t>
      </w:r>
      <w:r w:rsidR="006154EC"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r w:rsidRPr="001E4102">
        <w:rPr>
          <w:i/>
        </w:rPr>
        <w:t>Budhun v. Reading Hosp. &amp; Med. Ctr.</w:t>
      </w:r>
      <w:r w:rsidRPr="001E4102">
        <w:t xml:space="preserve">, </w:t>
      </w:r>
      <w:r w:rsidR="00DF5020" w:rsidRPr="001E4102">
        <w:t xml:space="preserve">765 F.3d 245 </w:t>
      </w:r>
      <w:r w:rsidRPr="001E4102">
        <w:t xml:space="preserve">(3d Cir. 2014).  Viewing the facts in the light most favorable to Budhun, the Court of Appeals held that Budhun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Budhun’s ability to perform specific tasks) did not make the certification inadequate, because Budhun’s employer had not included (in its individualized FMLA notice to Budhun) “a list of essential functions” for Budhun’s job.  </w:t>
      </w:r>
      <w:r w:rsidRPr="001E4102">
        <w:rPr>
          <w:i/>
        </w:rPr>
        <w:t>Id</w:t>
      </w:r>
      <w:r w:rsidRPr="001E4102">
        <w:t xml:space="preserve">. at </w:t>
      </w:r>
      <w:r w:rsidR="00841CB5" w:rsidRPr="001E4102">
        <w:t>253</w:t>
      </w:r>
      <w:r w:rsidRPr="001E4102">
        <w:t xml:space="preserve">.  Moreover, a subsequent equivocation by the doctor (stating that Budhun should instead be off work until September 8) did not alter the analysis because that statement post-dated the employer’s directive to Budhun “that she could not return to work until she had full use of all ten fingers.”  </w:t>
      </w:r>
      <w:r w:rsidRPr="001E4102">
        <w:rPr>
          <w:i/>
        </w:rPr>
        <w:t>Id.</w:t>
      </w:r>
      <w:r w:rsidRPr="001E4102">
        <w:t xml:space="preserve">  (The </w:t>
      </w:r>
      <w:r w:rsidRPr="001E4102">
        <w:rPr>
          <w:i/>
        </w:rPr>
        <w:t>Budhun</w:t>
      </w:r>
      <w:r w:rsidRPr="001E4102">
        <w:t xml:space="preserve"> court was applying </w:t>
      </w:r>
      <w:r w:rsidR="006154EC" w:rsidRPr="001E4102">
        <w:t>29 C.F.R. §</w:t>
      </w:r>
      <w:r w:rsidRPr="001E4102">
        <w:t xml:space="preserve"> 825.312 as it stood in 2010, </w:t>
      </w:r>
      <w:r w:rsidRPr="001E4102">
        <w:rPr>
          <w:i/>
        </w:rPr>
        <w:t>see Budhun</w:t>
      </w:r>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lastRenderedPageBreak/>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r w:rsidRPr="001E4102">
        <w:rPr>
          <w:i/>
        </w:rPr>
        <w:t>Conoshenti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r w:rsidRPr="001E4102">
        <w:rPr>
          <w:i/>
        </w:rPr>
        <w:t>Lupyan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4"/>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r w:rsidR="006154EC" w:rsidRPr="001E4102">
        <w:rPr>
          <w:i/>
        </w:rPr>
        <w:t xml:space="preserve">Sarnowski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r w:rsidR="006154EC" w:rsidRPr="001E4102">
        <w:rPr>
          <w:i/>
        </w:rPr>
        <w:t>Sarnowski</w:t>
      </w:r>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With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1E4102">
        <w:lastRenderedPageBreak/>
        <w:t xml:space="preserve">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r w:rsidRPr="001E4102">
        <w:rPr>
          <w:i/>
        </w:rPr>
        <w:t>Conoshenti v. Public Service Electric &amp; Gas Co.</w:t>
      </w:r>
      <w:r w:rsidRPr="001E4102">
        <w:t xml:space="preserve">, 364 F.3d 135, 143 (3d Cir. 2004).  The </w:t>
      </w:r>
      <w:r w:rsidRPr="001E4102">
        <w:rPr>
          <w:i/>
        </w:rPr>
        <w:t xml:space="preserve">Conoshenti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  825.301(b)(1), (c)). The plaintiff in </w:t>
      </w:r>
      <w:r w:rsidRPr="001E4102">
        <w:rPr>
          <w:i/>
        </w:rPr>
        <w:t xml:space="preserve">Conoshenti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See also Lupyan</w:t>
      </w:r>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w:t>
      </w:r>
      <w:r w:rsidRPr="001E4102">
        <w:lastRenderedPageBreak/>
        <w:t xml:space="preserve">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2"/>
          <w:pgSz w:w="12240" w:h="15840"/>
          <w:pgMar w:top="1920" w:right="1440" w:bottom="1920" w:left="1440" w:header="900" w:footer="1440" w:gutter="0"/>
          <w:lnNumType w:countBy="1" w:distance="576" w:restart="newSection"/>
          <w:cols w:space="720"/>
          <w:docGrid w:linePitch="326"/>
        </w:sectPr>
      </w:pPr>
      <w:r w:rsidRPr="00896394">
        <w:rPr>
          <w:i/>
        </w:rPr>
        <w:t>Hansler v. Lehigh Valley Hosp. Network</w:t>
      </w:r>
      <w:r>
        <w:t>, 798 F.3d 149, 157 (3d Cir. 2015)</w:t>
      </w:r>
      <w:r w:rsidR="007F32F8" w:rsidRPr="007F32F8">
        <w:t xml:space="preserve">; </w:t>
      </w:r>
      <w:r w:rsidR="007F32F8" w:rsidRPr="00CD3164">
        <w:rPr>
          <w:i/>
        </w:rPr>
        <w:t>id</w:t>
      </w:r>
      <w:r w:rsidR="007F32F8" w:rsidRPr="007F32F8">
        <w:t>. at 156 (“Assuming that she can prove she was denied benefits to which she was otherwise entitled, Hansler may premise her interference claim on these alleged regulatory violations.”)</w:t>
      </w:r>
      <w:r>
        <w:t>.</w:t>
      </w:r>
    </w:p>
    <w:p w14:paraId="18CFD9AE" w14:textId="7AB6EE2B" w:rsidR="006154EC" w:rsidRPr="001E4102" w:rsidRDefault="006154EC" w:rsidP="009C6F31">
      <w:pPr>
        <w:spacing w:after="240"/>
        <w:jc w:val="both"/>
      </w:pPr>
      <w:r w:rsidRPr="001E4102">
        <w:rPr>
          <w:b/>
          <w:sz w:val="28"/>
        </w:rPr>
        <w:lastRenderedPageBreak/>
        <w:t>10.1.2  Elements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378AAE30"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w:t>
      </w:r>
      <w:r w:rsidR="008E38A4">
        <w:rPr>
          <w:rStyle w:val="FootnoteReference"/>
        </w:rPr>
        <w:footnoteReference w:id="15"/>
      </w:r>
      <w:r w:rsidRPr="001E4102">
        <w:t xml:space="preserve"> in [d</w:t>
      </w:r>
      <w:r w:rsidR="00442E56">
        <w:t>efendant’</w:t>
      </w:r>
      <w:r w:rsidRPr="001E4102">
        <w:t>s] decision</w:t>
      </w:r>
      <w:r w:rsidR="00442E56">
        <w:t xml:space="preserve"> to</w:t>
      </w:r>
      <w:r w:rsidRPr="001E4102">
        <w:t xml:space="preserve">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6"/>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7"/>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3C2E9C05"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8"/>
      </w:r>
      <w:r w:rsidRPr="001E4102">
        <w:t xml:space="preserve"> [was terminated after returning from leave] [was demoted after returning from leave].</w:t>
      </w:r>
      <w:r w:rsidR="00DA14F8" w:rsidRPr="00DA14F8">
        <w:rPr>
          <w:rStyle w:val="FootnoteReference"/>
          <w:szCs w:val="24"/>
        </w:rPr>
        <w:footnoteReference w:id="19"/>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20"/>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332C7">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lastRenderedPageBreak/>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36BBBEED"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21"/>
      </w:r>
      <w:r w:rsidR="00F27D8C" w:rsidRPr="001E4102">
        <w:t xml:space="preserve">  Although dictum in </w:t>
      </w:r>
      <w:r w:rsidR="00F27D8C" w:rsidRPr="001E4102">
        <w:rPr>
          <w:i/>
          <w:iCs/>
        </w:rPr>
        <w:t xml:space="preserve">Callison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w:t>
      </w:r>
      <w:r w:rsidR="00274824">
        <w:t>has</w:t>
      </w:r>
      <w:r w:rsidR="00F27D8C" w:rsidRPr="001E4102">
        <w:t xml:space="preserve"> cited Section 2615(a)(2) as the basis for such claims, </w:t>
      </w:r>
      <w:r w:rsidR="00F27D8C" w:rsidRPr="001E4102">
        <w:rPr>
          <w:i/>
        </w:rPr>
        <w:t>see</w:t>
      </w:r>
      <w:r w:rsidR="00F27D8C" w:rsidRPr="001E4102">
        <w:t xml:space="preserve"> </w:t>
      </w:r>
      <w:r w:rsidR="00F27D8C" w:rsidRPr="001E4102">
        <w:rPr>
          <w:i/>
        </w:rPr>
        <w:t>Lupyan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xml:space="preserve">), if an employer retaliates against an employee for exercising her FMLA rights”), in </w:t>
      </w:r>
      <w:r w:rsidR="00274824">
        <w:t>five</w:t>
      </w:r>
      <w:r w:rsidR="00F27D8C" w:rsidRPr="001E4102">
        <w:t xml:space="preserve">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 xml:space="preserve">[R]etaliation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5737D7E5" w:rsidR="00F27D8C" w:rsidRPr="001E4102" w:rsidRDefault="00F27D8C" w:rsidP="00E365D8">
      <w:pPr>
        <w:spacing w:after="240"/>
        <w:jc w:val="both"/>
        <w:rPr>
          <w:u w:val="single"/>
        </w:rPr>
      </w:pPr>
      <w:r w:rsidRPr="001E4102">
        <w:rPr>
          <w:i/>
        </w:rPr>
        <w:lastRenderedPageBreak/>
        <w:t>Conoshenti v. Pub. Serv. Elec. &amp; Gas Co.</w:t>
      </w:r>
      <w:r w:rsidRPr="001E4102">
        <w:t>, 364 F.3d 135, 146</w:t>
      </w:r>
      <w:r w:rsidR="001332C7">
        <w:t xml:space="preserve"> n.</w:t>
      </w:r>
      <w:r w:rsidRPr="001E4102">
        <w:t xml:space="preserve">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r w:rsidRPr="001E4102">
        <w:rPr>
          <w:i/>
        </w:rPr>
        <w:t>Conoshenti</w:t>
      </w:r>
      <w:r w:rsidRPr="001E4102">
        <w:t xml:space="preserve">’s reliance on the regulation); </w:t>
      </w:r>
      <w:r w:rsidRPr="001E4102">
        <w:rPr>
          <w:i/>
        </w:rPr>
        <w:t>Budhun v. Reading Hosp. &amp; Med. Ctr.</w:t>
      </w:r>
      <w:r w:rsidRPr="001E4102">
        <w:t xml:space="preserve">,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r w:rsidR="00263C2B" w:rsidRPr="00263C2B">
        <w:rPr>
          <w:i/>
        </w:rPr>
        <w:t>Hansler v. Lehigh Valley Hosp. Network</w:t>
      </w:r>
      <w:r w:rsidR="00263C2B">
        <w:t>, 798 F.3d 149, 158 (3d Cir. 2015)</w:t>
      </w:r>
      <w:r w:rsidR="00E6348F" w:rsidRPr="00E6348F">
        <w:t xml:space="preserve"> (citing both Section 2615(a)(2) and 29 C.F.R. § 825.220(c) as authority for a retaliation-for-exercise claim).</w:t>
      </w:r>
      <w:r w:rsidR="00090A79">
        <w:t xml:space="preserve"> </w:t>
      </w:r>
      <w:r w:rsidR="00090A79" w:rsidRPr="00090A79">
        <w:t xml:space="preserve">Most recently, the Court of Appeals has upheld Section 825.220(c)’s creation of the retaliation-for-exercise claim as “a reasonable interpretation of § 2615(a)(1).” </w:t>
      </w:r>
      <w:r w:rsidR="00090A79" w:rsidRPr="00090A79">
        <w:rPr>
          <w:i/>
        </w:rPr>
        <w:t>Egan v. Delaware River Port Authority</w:t>
      </w:r>
      <w:r w:rsidR="00090A79" w:rsidRPr="00090A79">
        <w:t xml:space="preserve">, </w:t>
      </w:r>
      <w:r w:rsidR="00E365D8">
        <w:t>851 F.3d 263, 271 (3d Cir. 2017).</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002B029" w:rsidR="00127A0C" w:rsidRPr="001E4102" w:rsidRDefault="008D628F" w:rsidP="009C6F31">
      <w:pPr>
        <w:spacing w:after="240"/>
        <w:jc w:val="both"/>
      </w:pPr>
      <w:r>
        <w:rPr>
          <w:i/>
          <w:iCs/>
        </w:rPr>
        <w:t>A</w:t>
      </w:r>
      <w:r w:rsidR="00127A0C" w:rsidRPr="001E4102">
        <w:rPr>
          <w:i/>
          <w:iCs/>
        </w:rPr>
        <w:t>vailability of a mixed-motive framework for FMLA claims</w:t>
      </w:r>
    </w:p>
    <w:p w14:paraId="30AB9119" w14:textId="079BCA14" w:rsidR="006154EC" w:rsidRPr="001E4102" w:rsidRDefault="0063714F" w:rsidP="009C6F31">
      <w:pPr>
        <w:spacing w:after="240"/>
        <w:ind w:firstLine="720"/>
        <w:jc w:val="both"/>
        <w:rPr>
          <w:i/>
        </w:rPr>
      </w:pPr>
      <w:r>
        <w:t>Prior to</w:t>
      </w:r>
      <w:r w:rsidR="00557504" w:rsidRPr="001E4102">
        <w:t xml:space="preserve"> the Supreme Court’s decisions in </w:t>
      </w:r>
      <w:r w:rsidR="00557504" w:rsidRPr="001E4102">
        <w:rPr>
          <w:i/>
        </w:rPr>
        <w:t xml:space="preserve">University of Texas Southwestern </w:t>
      </w:r>
      <w:r w:rsidR="006154EC" w:rsidRPr="001E4102">
        <w:rPr>
          <w:i/>
        </w:rPr>
        <w:t xml:space="preserve">Medical </w:t>
      </w:r>
      <w:r w:rsidR="00557504" w:rsidRPr="001E4102">
        <w:rPr>
          <w:i/>
        </w:rPr>
        <w:t>Center v. Nassar</w:t>
      </w:r>
      <w:r w:rsidR="00557504" w:rsidRPr="001E4102">
        <w:t xml:space="preserve">, 133 S. </w:t>
      </w:r>
      <w:r w:rsidR="006154EC" w:rsidRPr="001E4102">
        <w:t xml:space="preserve">Ct. </w:t>
      </w:r>
      <w:r w:rsidR="00557504" w:rsidRPr="001E4102">
        <w:t xml:space="preserve">2517, 2533 (2013), and </w:t>
      </w:r>
      <w:r w:rsidR="00557504" w:rsidRPr="001E4102">
        <w:rPr>
          <w:i/>
        </w:rPr>
        <w:t xml:space="preserve">Gross v. </w:t>
      </w:r>
      <w:r w:rsidR="006154EC" w:rsidRPr="001E4102">
        <w:rPr>
          <w:i/>
        </w:rPr>
        <w:t>FBL Financial Services, Inc</w:t>
      </w:r>
      <w:r w:rsidR="006154EC" w:rsidRPr="001E4102">
        <w:t xml:space="preserve">., </w:t>
      </w:r>
      <w:r w:rsidR="00557504" w:rsidRPr="001E4102">
        <w:t xml:space="preserve">557 </w:t>
      </w:r>
      <w:r w:rsidR="006154EC" w:rsidRPr="001E4102">
        <w:t>U.S.</w:t>
      </w:r>
      <w:r w:rsidR="00557504" w:rsidRPr="001E4102">
        <w:t xml:space="preserve"> 167 (2009), </w:t>
      </w:r>
      <w:r w:rsidR="00475D22" w:rsidRPr="001E4102">
        <w:t>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Conoshenti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(en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decisionmaking process and that it had a determinative effect on the outcome of that process.</w:t>
      </w:r>
    </w:p>
    <w:p w14:paraId="0D772C1B" w14:textId="7FB75A95" w:rsidR="006154EC" w:rsidRPr="001E4102" w:rsidRDefault="006154EC" w:rsidP="009C6F31">
      <w:pPr>
        <w:spacing w:after="240"/>
        <w:jc w:val="both"/>
      </w:pPr>
      <w:r w:rsidRPr="001E4102">
        <w:lastRenderedPageBreak/>
        <w:tab/>
        <w:t xml:space="preserve">To the extent that </w:t>
      </w:r>
      <w:r w:rsidRPr="001E4102">
        <w:rPr>
          <w:i/>
        </w:rPr>
        <w:t xml:space="preserve">Miller </w:t>
      </w:r>
      <w:r w:rsidRPr="001E4102">
        <w:t xml:space="preserve">held that a mixed-motive framework is available in ADEA cases, </w:t>
      </w:r>
      <w:r w:rsidR="006474C6">
        <w:t>it was</w:t>
      </w:r>
      <w:r w:rsidRPr="001E4102">
        <w:t xml:space="preserve">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1BF856FB" w14:textId="03D4C142"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See Univ. of Tex. Sw. Med. Ctr. v. Nassar</w:t>
      </w:r>
      <w:r w:rsidRPr="001E4102">
        <w:t>, 133 S.</w:t>
      </w:r>
      <w:r w:rsidR="006E549A">
        <w:t xml:space="preserve"> </w:t>
      </w:r>
      <w:r w:rsidRPr="001E4102">
        <w:t xml:space="preserve">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06575261" w14:textId="10A4C3CC" w:rsidR="009D3B3B" w:rsidRDefault="00A72B8B" w:rsidP="009D3B3B">
      <w:pPr>
        <w:spacing w:after="240"/>
        <w:ind w:firstLine="720"/>
        <w:jc w:val="both"/>
      </w:pPr>
      <w:r>
        <w:t>It was initially unclear</w:t>
      </w:r>
      <w:r w:rsidR="00127A0C" w:rsidRPr="001E4102">
        <w:t xml:space="preserve"> what effect, if any, </w:t>
      </w:r>
      <w:r w:rsidR="00127A0C"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t>would</w:t>
      </w:r>
      <w:r w:rsidR="00127A0C" w:rsidRPr="001E4102">
        <w:t xml:space="preserve"> have on existing precedents recognizing a mixed</w:t>
      </w:r>
      <w:r w:rsidR="00127A0C"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r w:rsidR="002A6BBC">
        <w:t xml:space="preserve">; </w:t>
      </w:r>
      <w:r w:rsidR="002A6BBC" w:rsidRPr="00CD13C1">
        <w:rPr>
          <w:i/>
        </w:rPr>
        <w:t>Capps v. Mondelez Glob., LLC</w:t>
      </w:r>
      <w:r w:rsidR="002A6BBC" w:rsidRPr="002A6BBC">
        <w:t xml:space="preserve">, 847 F.3d 144, 151 n.5 (3d Cir. 2017) (noting the question, citing </w:t>
      </w:r>
      <w:r w:rsidR="002A6BBC" w:rsidRPr="00CD13C1">
        <w:rPr>
          <w:i/>
        </w:rPr>
        <w:t>Lichtenstein</w:t>
      </w:r>
      <w:r w:rsidR="002A6BBC" w:rsidRPr="002A6BBC">
        <w:t>, and holding that the plaintiff had failed to adduce evidence sufficient to trigger a mixed-motive analysis (if such an analysis remained available))</w:t>
      </w:r>
      <w:r w:rsidR="00915A6F" w:rsidRPr="001E4102">
        <w:t>.</w:t>
      </w:r>
      <w:r w:rsidR="009D3B3B">
        <w:t xml:space="preserve"> In </w:t>
      </w:r>
      <w:r w:rsidR="0042544D" w:rsidRPr="00090A79">
        <w:rPr>
          <w:i/>
        </w:rPr>
        <w:t>Egan v. Delaware River Port Authority</w:t>
      </w:r>
      <w:r w:rsidR="0042544D" w:rsidRPr="00090A79">
        <w:t xml:space="preserve">, </w:t>
      </w:r>
      <w:r w:rsidR="0042544D">
        <w:t>851 F.3d 263 (3d Cir. 2017)</w:t>
      </w:r>
      <w:r w:rsidR="009D3B3B">
        <w:t xml:space="preserve">, the Court of Appeals held that FMLA retaliation-for-exercise claims are grounded in 29 C.F.R. § 825.220(c); that the regulation authorizes mixed-motive claims; and that because “§ 825.220(c) is entitled to controlling deference under Chevron, … a mixed-motive jury instruction is available for FMLA retaliation[-for-exercise] claims.” </w:t>
      </w:r>
      <w:r w:rsidR="009D3B3B" w:rsidRPr="0044713B">
        <w:rPr>
          <w:i/>
        </w:rPr>
        <w:t>Egan</w:t>
      </w:r>
      <w:r w:rsidR="009D3B3B">
        <w:t xml:space="preserve">, </w:t>
      </w:r>
      <w:r w:rsidR="0044713B">
        <w:t>851 F.3d</w:t>
      </w:r>
      <w:r w:rsidR="009D3B3B">
        <w:t xml:space="preserve"> at </w:t>
      </w:r>
      <w:r w:rsidR="006B3E70">
        <w:t>274.</w:t>
      </w:r>
      <w:r w:rsidR="009D3B3B">
        <w:t xml:space="preserve">Under </w:t>
      </w:r>
      <w:r w:rsidR="009D3B3B" w:rsidRPr="00D44404">
        <w:rPr>
          <w:i/>
        </w:rPr>
        <w:t>Egan</w:t>
      </w:r>
      <w:r w:rsidR="009D3B3B">
        <w:t xml:space="preserve">, a litigant need not adduce direct evidence of discrimination in order to obtain a mixed-motive instruction in an FMLA retaliation-for-exercise case.  Rather,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w:t>
      </w:r>
      <w:r w:rsidR="009D3B3B" w:rsidRPr="00FF3819">
        <w:rPr>
          <w:i/>
        </w:rPr>
        <w:t>Egan</w:t>
      </w:r>
      <w:r w:rsidR="009D3B3B">
        <w:t xml:space="preserve">, </w:t>
      </w:r>
      <w:r w:rsidR="009252AA" w:rsidRPr="009252AA">
        <w:t>851 F.3d at 27</w:t>
      </w:r>
      <w:r w:rsidR="009252AA">
        <w:t>5</w:t>
      </w:r>
      <w:r w:rsidR="009D3B3B">
        <w:t>.</w:t>
      </w:r>
    </w:p>
    <w:p w14:paraId="5EFFF7F4" w14:textId="77777777" w:rsidR="009D3B3B" w:rsidRPr="00436FD9" w:rsidRDefault="009D3B3B" w:rsidP="00436FD9">
      <w:pPr>
        <w:spacing w:after="240"/>
        <w:jc w:val="both"/>
        <w:rPr>
          <w:i/>
        </w:rPr>
      </w:pPr>
      <w:r w:rsidRPr="00436FD9">
        <w:rPr>
          <w:i/>
        </w:rPr>
        <w:lastRenderedPageBreak/>
        <w:t>“Negative factor” versus “motivating factor”</w:t>
      </w:r>
    </w:p>
    <w:p w14:paraId="1CD825A2" w14:textId="32536231" w:rsidR="009D3B3B" w:rsidRDefault="009D3B3B" w:rsidP="009D3B3B">
      <w:pPr>
        <w:spacing w:after="240"/>
        <w:ind w:firstLine="720"/>
        <w:jc w:val="both"/>
      </w:pPr>
      <w:r>
        <w:t>The regulation on which FMLA retaliation-for-exercise claims are founded uses the term “negative factor,” in contrast to the Instruction’s use of the term “motivating factor.” The regulation states that “employers cannot use the taking of FMLA leave as a negative factor in employment actions, such as hiring, promotions or disc</w:t>
      </w:r>
      <w:r w:rsidR="00491502">
        <w:t>iplinary actions….” 29 C.F.R. § </w:t>
      </w:r>
      <w:r>
        <w:t xml:space="preserve">825.220(c).  Relying on this provision, the </w:t>
      </w:r>
      <w:r w:rsidRPr="00922BEE">
        <w:rPr>
          <w:i/>
        </w:rPr>
        <w:t>Egan</w:t>
      </w:r>
      <w:r>
        <w:t xml:space="preserve"> court also referred repeatedly to the mixed-motive theory as involving the question of whether the exercise of FMLA rights was a “negative factor.”  Users may wish to consider whether to revise the Instruction to use the term “negative factor” in order to track these authorities closely.  But there are at least two counter-arguments.</w:t>
      </w:r>
    </w:p>
    <w:p w14:paraId="2B287119" w14:textId="1BF14AAF" w:rsidR="009D3B3B" w:rsidRDefault="009D3B3B" w:rsidP="009D3B3B">
      <w:pPr>
        <w:spacing w:after="240"/>
        <w:ind w:firstLine="720"/>
        <w:jc w:val="both"/>
      </w:pPr>
      <w:r>
        <w:t xml:space="preserve">First, the regulation and the Instruction are structured differently. The regulation focuses generically on “employment actions,” whereas Instruction 10.1.2 refers specifically to the </w:t>
      </w:r>
      <w:r w:rsidRPr="00922BEE">
        <w:rPr>
          <w:i/>
        </w:rPr>
        <w:t>adverse</w:t>
      </w:r>
      <w:r>
        <w:t xml:space="preserve"> action taken by a particular defendant. In the context of the Instruction, saying that the exercise of FMLA rights was a </w:t>
      </w:r>
      <w:r w:rsidRPr="00922BEE">
        <w:rPr>
          <w:i/>
        </w:rPr>
        <w:t>negative</w:t>
      </w:r>
      <w:r>
        <w:t xml:space="preserve"> factor could be confusing. Jurors might well interpret “negative” correctly – to mean, a factor that operated adversely to the plaintiff’s interests – but they might instead misinterpret “negative” to mean a factor that weighed </w:t>
      </w:r>
      <w:r w:rsidRPr="00922BEE">
        <w:rPr>
          <w:i/>
        </w:rPr>
        <w:t>against</w:t>
      </w:r>
      <w:r>
        <w:t xml:space="preserve"> the defendant’s adverse employment decision. Assuming that “negative factor” (as the regulation employs that term) means “a factor weighing in favor of an adverse employment decision,” the term “motivating factor” would seem to be a useful translation for purposes of the Instruction, and “negative factor” might actually cause juror confusion.  </w:t>
      </w:r>
    </w:p>
    <w:p w14:paraId="212D8D2A" w14:textId="1A3C4ED9" w:rsidR="00127A0C" w:rsidRDefault="009D3B3B" w:rsidP="009D3B3B">
      <w:pPr>
        <w:spacing w:after="240"/>
        <w:ind w:firstLine="720"/>
        <w:jc w:val="both"/>
      </w:pPr>
      <w:r>
        <w:t xml:space="preserve">Second, there is a potential cost to using terminology that is unique to FMLA claims. The term “motivating factor” appears in the model instructions for mixed-motive claims under other  statutory schemes. </w:t>
      </w:r>
      <w:r w:rsidRPr="00E644B0">
        <w:rPr>
          <w:i/>
        </w:rPr>
        <w:t>See</w:t>
      </w:r>
      <w:r>
        <w:t xml:space="preserve"> Instruction 5.1.1 (employing the term “motivating factor” for mixed-motive Title VII claims);  Instruction 7.1 (same, for mixed-motive Section 1983 equal-protection claims); Instruction 9.1.1 (same, for mixed-motive ADA claims); </w:t>
      </w:r>
      <w:r w:rsidRPr="00E644B0">
        <w:rPr>
          <w:i/>
        </w:rPr>
        <w:t>see also</w:t>
      </w:r>
      <w:r>
        <w:t xml:space="preserve"> Instruction 7.4 (using the term “motivating factor” in instruction for Section 1983 First-Amendment-retaliation claims). It is possible that some cases will involve both mixed-motive FMLA retaliation-for-exercise claims and mixed-motive claims under another statutory scheme (such as the ADA); in such a case, using “negative factor” for one type of claim and “motivating factor” for the other type could be confusing.</w:t>
      </w:r>
    </w:p>
    <w:p w14:paraId="3ECA2F7A" w14:textId="77777777" w:rsidR="008735E5" w:rsidRPr="00BA3AB0" w:rsidRDefault="008735E5" w:rsidP="008735E5">
      <w:pPr>
        <w:shd w:val="clear" w:color="auto" w:fill="FFFFFF" w:themeFill="background1"/>
        <w:spacing w:after="240"/>
        <w:jc w:val="both"/>
        <w:rPr>
          <w:szCs w:val="24"/>
        </w:rPr>
      </w:pPr>
      <w:r w:rsidRPr="00BA3AB0">
        <w:rPr>
          <w:i/>
          <w:szCs w:val="24"/>
        </w:rPr>
        <w:t>Adverse Employment Action</w:t>
      </w:r>
    </w:p>
    <w:p w14:paraId="7C3677D8" w14:textId="14625372" w:rsidR="008735E5" w:rsidRPr="001E4102" w:rsidRDefault="008735E5" w:rsidP="008735E5">
      <w:pPr>
        <w:spacing w:after="240"/>
        <w:ind w:firstLine="720"/>
        <w:jc w:val="both"/>
      </w:pPr>
      <w:r w:rsidRPr="00BA3AB0">
        <w:rPr>
          <w:szCs w:val="24"/>
        </w:rPr>
        <w:t>Instruction 10.1.2’s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r w:rsidR="00DF3239">
        <w:rPr>
          <w:szCs w:val="24"/>
        </w:rPr>
        <w:t>’ ”</w:t>
      </w:r>
      <w:r w:rsidRPr="00BA3AB0">
        <w:rPr>
          <w:szCs w:val="24"/>
        </w:rPr>
        <w:t xml:space="preserve"> </w:t>
      </w:r>
      <w:r w:rsidRPr="00BA3AB0">
        <w:rPr>
          <w:i/>
          <w:szCs w:val="24"/>
        </w:rPr>
        <w:t>Budhun v. Reading Hosp. &amp; Med. Ctr</w:t>
      </w:r>
      <w:r w:rsidRPr="00BA3AB0">
        <w:rPr>
          <w:szCs w:val="24"/>
        </w:rPr>
        <w:t xml:space="preserve">., 765 F.3d 245, 257 (3d Cir. 2014) (quoting </w:t>
      </w:r>
      <w:r w:rsidRPr="00BA3AB0">
        <w:rPr>
          <w:i/>
          <w:szCs w:val="24"/>
        </w:rPr>
        <w:t>Robinson v. City of Pittsburgh</w:t>
      </w:r>
      <w:r w:rsidRPr="00BA3AB0">
        <w:rPr>
          <w:szCs w:val="24"/>
        </w:rPr>
        <w:t>, 120 F.3d 1286, 1300 (3d Cir.</w:t>
      </w:r>
      <w:r w:rsidR="001332C7">
        <w:rPr>
          <w:szCs w:val="24"/>
        </w:rPr>
        <w:t xml:space="preserve"> </w:t>
      </w:r>
      <w:r w:rsidRPr="00BA3AB0">
        <w:rPr>
          <w:szCs w:val="24"/>
        </w:rPr>
        <w:t xml:space="preserve">1997)). In </w:t>
      </w:r>
      <w:r w:rsidRPr="00BA3AB0">
        <w:rPr>
          <w:i/>
          <w:szCs w:val="24"/>
        </w:rPr>
        <w:t>Budhun</w:t>
      </w:r>
      <w:r w:rsidRPr="00BA3AB0">
        <w:rPr>
          <w:szCs w:val="24"/>
        </w:rPr>
        <w:t xml:space="preserve"> – an FMLA case under 29 C.F.R. § 825.220(c) – the Court of Appeals noted but did not decide the question whether “the less restrictive standard for ‘adverse employment action’ promulgated in </w:t>
      </w:r>
      <w:r w:rsidRPr="00BA3AB0">
        <w:rPr>
          <w:szCs w:val="24"/>
        </w:rPr>
        <w:lastRenderedPageBreak/>
        <w:t xml:space="preserve">the Title VII context by </w:t>
      </w:r>
      <w:r w:rsidRPr="00BA3AB0">
        <w:rPr>
          <w:i/>
          <w:szCs w:val="24"/>
        </w:rPr>
        <w:t>Burlington Northern &amp; Santa Fe Railway Co. v. White</w:t>
      </w:r>
      <w:r w:rsidRPr="00BA3AB0">
        <w:rPr>
          <w:szCs w:val="24"/>
        </w:rPr>
        <w:t xml:space="preserve">, 548 U.S. 53 … (2006)” can apply in such FMLA cases. </w:t>
      </w:r>
      <w:r w:rsidRPr="00BA3AB0">
        <w:rPr>
          <w:i/>
          <w:szCs w:val="24"/>
        </w:rPr>
        <w:t>Budhun</w:t>
      </w:r>
      <w:r w:rsidRPr="00BA3AB0">
        <w:rPr>
          <w:szCs w:val="24"/>
        </w:rPr>
        <w:t>, 765 F.3d at 257.</w:t>
      </w:r>
    </w:p>
    <w:p w14:paraId="2FE3B8D0" w14:textId="77777777" w:rsidR="006154EC" w:rsidRPr="001E4102" w:rsidRDefault="006154EC" w:rsidP="009C6F31">
      <w:pPr>
        <w:spacing w:after="240"/>
        <w:jc w:val="both"/>
      </w:pPr>
      <w:r w:rsidRPr="001E4102">
        <w:rPr>
          <w:i/>
        </w:rPr>
        <w:t>“Same Decision” Affirmative Defense</w:t>
      </w:r>
    </w:p>
    <w:p w14:paraId="753434C1" w14:textId="0233E965" w:rsidR="00055921" w:rsidRDefault="006154EC" w:rsidP="00055921">
      <w:pPr>
        <w:spacing w:after="240"/>
        <w:jc w:val="both"/>
      </w:pPr>
      <w:r w:rsidRPr="001E4102">
        <w:tab/>
      </w:r>
      <w:r w:rsidR="00055921">
        <w:t xml:space="preserve">Mixed-motive discrimination claims are typically subject to a “same-decision defense” – </w:t>
      </w:r>
      <w:r w:rsidR="00055921" w:rsidRPr="00357B3C">
        <w:rPr>
          <w:i/>
        </w:rPr>
        <w:t>i.e</w:t>
      </w:r>
      <w:r w:rsidR="00055921">
        <w:t xml:space="preserve">., that the defendant would have made the same decision even absent the discriminatory motive. For Title VII mixed-motive discrimination claims, the same-decision defense limits remedies rather than providing a defense to liability. </w:t>
      </w:r>
      <w:r w:rsidR="00055921" w:rsidRPr="00357B3C">
        <w:rPr>
          <w:i/>
        </w:rPr>
        <w:t>See</w:t>
      </w:r>
      <w:r w:rsidR="00055921">
        <w:t xml:space="preserve"> Comment 5.1.1; </w:t>
      </w:r>
      <w:r w:rsidR="00055921" w:rsidRPr="002460E9">
        <w:rPr>
          <w:i/>
        </w:rPr>
        <w:t>see also</w:t>
      </w:r>
      <w:r w:rsidR="00055921">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sidR="00055921" w:rsidRPr="00357B3C">
        <w:rPr>
          <w:i/>
        </w:rPr>
        <w:t>id</w:t>
      </w:r>
      <w:r w:rsidR="00055921">
        <w:t>. § 2000e-5(g)(2)(B) (limiting remedies under Section 2000e-2(m), in a case where the defendant “demonstrates that [it] would have taken the same action in the absence of the impermissible motivating factor,” to declaratory relief, certain injunctive relief, and certain attorney’s fees and costs). Noting that the Americans with Disabilities Act borrows enforcement and remedial provisions from Title VII, Comment 9.1.1 takes the view that the same-decision defense similarly limits remedies for mixed-motive claims under the ADA.</w:t>
      </w:r>
      <w:r w:rsidR="009458D9">
        <w:rPr>
          <w:rStyle w:val="FootnoteReference"/>
        </w:rPr>
        <w:footnoteReference w:id="22"/>
      </w:r>
      <w:r w:rsidR="00055921">
        <w:t xml:space="preserve"> By contrast, the model instructions set out the same-decision defense as a defense to liability for mixed-motive claims under Section 1981 and Section 1983. </w:t>
      </w:r>
      <w:r w:rsidR="00055921" w:rsidRPr="009723B8">
        <w:rPr>
          <w:i/>
        </w:rPr>
        <w:t>See</w:t>
      </w:r>
      <w:r w:rsidR="00055921">
        <w:t xml:space="preserve">  Instruction 7.1 (mixed-motive Section 1983 equal-protection claims); </w:t>
      </w:r>
      <w:r w:rsidR="00055921" w:rsidRPr="009723B8">
        <w:rPr>
          <w:i/>
        </w:rPr>
        <w:t>see also</w:t>
      </w:r>
      <w:r w:rsidR="00055921">
        <w:t xml:space="preserve"> Instruction 7.4 (setting out same-decision defense as defense to liability for Section 1983 First-Amendment-retaliation claims). The difference arises because pre-1991 caselaw recognized the same-decision defense as a defense to liability for mixed-motive claims, </w:t>
      </w:r>
      <w:r w:rsidR="00055921" w:rsidRPr="009723B8">
        <w:rPr>
          <w:i/>
        </w:rPr>
        <w:t>see, e.g</w:t>
      </w:r>
      <w:r w:rsidR="00055921">
        <w:t xml:space="preserve">., </w:t>
      </w:r>
      <w:r w:rsidR="00055921" w:rsidRPr="009723B8">
        <w:rPr>
          <w:i/>
        </w:rPr>
        <w:t>Price Waterhouse v. Hopkins</w:t>
      </w:r>
      <w:r w:rsidR="00055921">
        <w:t xml:space="preserve">, 490 U.S. 228, 258 (1989) (plurality opinion), but Congress altered that landscape in 1991 with respect to Title VII claims. For Title VII claims, the Civil Rights Act of 1991 modified the </w:t>
      </w:r>
      <w:r w:rsidR="00055921" w:rsidRPr="009723B8">
        <w:rPr>
          <w:i/>
        </w:rPr>
        <w:t>Price Waterhouse</w:t>
      </w:r>
      <w:r w:rsidR="00055921">
        <w:t xml:space="preserve"> framework so that the same-decision defense limits remedies rather foreclosing liability. The model instructions reflect the view that the framework set by the 1991 amendments governs Title VII and ADA claims, but not Section 1983 equal-protection  claims.</w:t>
      </w:r>
    </w:p>
    <w:p w14:paraId="024AD7CD" w14:textId="5BF8B0C2" w:rsidR="006154EC" w:rsidRPr="001E4102" w:rsidRDefault="00055921" w:rsidP="002C64CB">
      <w:pPr>
        <w:spacing w:after="240"/>
        <w:ind w:firstLine="720"/>
        <w:jc w:val="both"/>
      </w:pPr>
      <w:r>
        <w:t xml:space="preserve">The Court of Appeals has not discussed the application of the same-decision defense to mixed-motive FMLA retaliation-for-exercise claims, and the regulation that is regarded as creating those claims (29 C.F.R. § 825.220(c)) makes no mention of the defense either. Instruction 10.1.2 reflects an assumption that the </w:t>
      </w:r>
      <w:r w:rsidRPr="007F37A4">
        <w:rPr>
          <w:i/>
        </w:rPr>
        <w:t>Price Waterhouse</w:t>
      </w:r>
      <w:r>
        <w:t xml:space="preserve"> approach applies, so that the same-decision defense, if established, forecloses liability.</w:t>
      </w:r>
      <w:r w:rsidR="006154EC" w:rsidRPr="001E4102">
        <w:t xml:space="preserve"> </w:t>
      </w:r>
    </w:p>
    <w:p w14:paraId="0C459557" w14:textId="77777777" w:rsidR="006154EC" w:rsidRPr="001E4102" w:rsidRDefault="006154EC" w:rsidP="009C6F31">
      <w:pPr>
        <w:spacing w:after="240"/>
        <w:jc w:val="both"/>
      </w:pPr>
      <w:r w:rsidRPr="001E4102">
        <w:rPr>
          <w:i/>
        </w:rPr>
        <w:lastRenderedPageBreak/>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23"/>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24"/>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leave,  [plaintiff]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w:t>
      </w:r>
      <w:r w:rsidRPr="001E4102">
        <w:lastRenderedPageBreak/>
        <w:t>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2B503229"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25"/>
      </w:r>
      <w:r w:rsidRPr="001E4102">
        <w:t xml:space="preserve"> [was terminated after returning from leave] [was demoted after returning from leave].</w:t>
      </w:r>
      <w:r w:rsidR="002F4556" w:rsidRPr="002F4556">
        <w:rPr>
          <w:rStyle w:val="FootnoteReference"/>
          <w:szCs w:val="24"/>
        </w:rPr>
        <w:footnoteReference w:id="26"/>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37D3FF47" w:rsidR="006154EC" w:rsidRPr="001E4102" w:rsidRDefault="006154EC" w:rsidP="009C6F31">
      <w:pPr>
        <w:spacing w:after="240"/>
        <w:jc w:val="both"/>
      </w:pPr>
      <w:r w:rsidRPr="001E4102">
        <w:tab/>
      </w:r>
      <w:bookmarkStart w:id="0" w:name="Pretext_language_start"/>
      <w:r w:rsidR="006E5693" w:rsidRPr="006E5693">
        <w:rPr>
          <w:szCs w:val="24"/>
        </w:rPr>
        <w:t xml:space="preserve">You should weigh </w:t>
      </w:r>
      <w:bookmarkEnd w:id="0"/>
      <w:r w:rsidR="006E5693" w:rsidRPr="006E5693">
        <w:rPr>
          <w:szCs w:val="24"/>
        </w:rPr>
        <w:t>all the evidence received in the case in deciding whether [defendant] intentionally discriminated against [plaintiff]</w:t>
      </w:r>
      <w:r w:rsidR="006E5693" w:rsidRPr="006E5693">
        <w:t>.</w:t>
      </w:r>
      <w:r w:rsidR="006E5693" w:rsidRPr="001E4102">
        <w:t xml:space="preserve"> </w:t>
      </w:r>
      <w:r w:rsidRPr="001E4102">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w:t>
      </w:r>
      <w:r w:rsidR="006E5693">
        <w:t>he other evidence.]</w:t>
      </w:r>
    </w:p>
    <w:p w14:paraId="449399AA" w14:textId="15EA2835" w:rsidR="006154EC" w:rsidRPr="001E4102" w:rsidRDefault="006154EC" w:rsidP="009C6F31">
      <w:pPr>
        <w:spacing w:after="240"/>
        <w:jc w:val="both"/>
      </w:pPr>
      <w:r w:rsidRPr="001E4102">
        <w:tab/>
        <w:t xml:space="preserve">[Defendant] has given a nondiscriminatory reason for its [describe defendant’s action]. </w:t>
      </w:r>
      <w:r w:rsidR="002C107A" w:rsidRPr="002C107A">
        <w:rPr>
          <w:szCs w:val="24"/>
        </w:rPr>
        <w:t xml:space="preserve">If you believe [defendant’s] stated reason and if you find that the [adverse employment action] would have occurred because of defendant’s stated reason regardless of [plaintiff’s] </w:t>
      </w:r>
      <w:r w:rsidR="002C107A">
        <w:rPr>
          <w:szCs w:val="24"/>
        </w:rPr>
        <w:t>taking leave</w:t>
      </w:r>
      <w:r w:rsidR="002C107A" w:rsidRPr="002C107A">
        <w:rPr>
          <w:szCs w:val="24"/>
        </w:rPr>
        <w:t>, then you must find for [defendant].</w:t>
      </w:r>
      <w:r w:rsidRPr="001E4102">
        <w:t xml:space="preserve"> If you disbelieve [defendant’s] </w:t>
      </w:r>
      <w:r w:rsidR="0009381B">
        <w:t>stated reason</w:t>
      </w:r>
      <w:r w:rsidRPr="001E4102">
        <w:t xml:space="preserve"> for its conduct, then you may, but need not, find that [plaintiff] has proved intentional discrimination. In</w:t>
      </w:r>
      <w:r w:rsidR="00637F36">
        <w:t xml:space="preserve"> determining whether [defendant’</w:t>
      </w:r>
      <w:r w:rsidRPr="001E4102">
        <w:t>s] stated reason for its actions was a pretext, or excuse, for discrimination, you may not question [defendant</w:t>
      </w:r>
      <w:r w:rsidR="00637F36">
        <w:t>’</w:t>
      </w:r>
      <w:r w:rsidRPr="001E4102">
        <w:t>s] business judgment. You cannot find intentional discrimination simply because you disagree with the business judgment of [defendant] or believe it is harsh or unreasonable. You</w:t>
      </w:r>
      <w:r w:rsidR="00637F36">
        <w:t xml:space="preserve"> are not to consider [defendant’</w:t>
      </w:r>
      <w:r w:rsidRPr="001E4102">
        <w:t xml:space="preserve">s] wisdom. However, you may consider whether </w:t>
      </w:r>
      <w:r w:rsidR="00637F36">
        <w:t xml:space="preserve">[plaintiff] has proven that </w:t>
      </w:r>
      <w:r w:rsidRPr="001E4102">
        <w:t>[defen</w:t>
      </w:r>
      <w:r w:rsidR="00637F36">
        <w:t>dant’</w:t>
      </w:r>
      <w:r w:rsidRPr="001E4102">
        <w:t>s] reason is merely a cover-up for discrimination.</w:t>
      </w:r>
    </w:p>
    <w:p w14:paraId="6D7AE453" w14:textId="4B39CCAF" w:rsidR="006154EC" w:rsidRPr="001E4102" w:rsidRDefault="006154EC" w:rsidP="009C6F31">
      <w:pPr>
        <w:spacing w:after="240"/>
        <w:jc w:val="both"/>
        <w:rPr>
          <w:b/>
          <w:sz w:val="28"/>
        </w:rPr>
      </w:pPr>
      <w:r w:rsidRPr="001E4102">
        <w:tab/>
        <w:t>Ultimately, you must decide whether [plaintiff] has proven that [his/her] taking leave under the Family Medical Leave Act was a determinative factor in [defendant’s employment decision.] “Determinative factor” me</w:t>
      </w:r>
      <w:r w:rsidR="00637F36">
        <w:t>ans that if not for [plaintiff’s</w:t>
      </w:r>
      <w:r w:rsidRPr="001E4102">
        <w:t xml:space="preserve">]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t>Comment</w:t>
      </w:r>
    </w:p>
    <w:p w14:paraId="47BA56D4" w14:textId="0B274E33" w:rsidR="007E35AD" w:rsidRDefault="006154EC" w:rsidP="009C6F31">
      <w:pPr>
        <w:spacing w:after="240"/>
        <w:jc w:val="both"/>
      </w:pPr>
      <w:r w:rsidRPr="001E4102">
        <w:tab/>
      </w:r>
      <w:r w:rsidR="007E35AD" w:rsidRPr="007E35AD">
        <w:t xml:space="preserve">In </w:t>
      </w:r>
      <w:r w:rsidR="00067FBE" w:rsidRPr="00090A79">
        <w:rPr>
          <w:i/>
        </w:rPr>
        <w:t>Egan v. Delaware River Port Authority</w:t>
      </w:r>
      <w:r w:rsidR="00067FBE" w:rsidRPr="00090A79">
        <w:t xml:space="preserve">, </w:t>
      </w:r>
      <w:r w:rsidR="00067FBE">
        <w:t>851 F.3d 263 (3d Cir. 2017)</w:t>
      </w:r>
      <w:r w:rsidR="007E35AD" w:rsidRPr="007E35AD">
        <w:t>, the Court of Appeals held that FMLA retaliation-for-exercise claims are grounded in 29 C.F.R. § 825.220(c) and that such claims encompass both pret</w:t>
      </w:r>
      <w:r w:rsidR="00F30FE0">
        <w:t xml:space="preserve">ext and mixed-motive theories. </w:t>
      </w:r>
      <w:r w:rsidR="00F30FE0">
        <w:rPr>
          <w:i/>
        </w:rPr>
        <w:t xml:space="preserve">See </w:t>
      </w:r>
      <w:r w:rsidR="00F30FE0" w:rsidRPr="0044713B">
        <w:rPr>
          <w:i/>
        </w:rPr>
        <w:t>Egan</w:t>
      </w:r>
      <w:r w:rsidR="00F30FE0">
        <w:t>, 851 F.3d at 274</w:t>
      </w:r>
      <w:r w:rsidR="007E35AD" w:rsidRPr="007E35AD">
        <w:t xml:space="preserve">.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if so, a mixed-motive instruction is available.  </w:t>
      </w:r>
      <w:r w:rsidR="00DA0347" w:rsidRPr="00FF3819">
        <w:rPr>
          <w:i/>
        </w:rPr>
        <w:t>Egan</w:t>
      </w:r>
      <w:r w:rsidR="00DA0347">
        <w:t xml:space="preserve">, </w:t>
      </w:r>
      <w:r w:rsidR="00DA0347" w:rsidRPr="009252AA">
        <w:t>851 F.3d at 27</w:t>
      </w:r>
      <w:r w:rsidR="00DA0347">
        <w:t>5</w:t>
      </w:r>
      <w:r w:rsidR="007E35AD" w:rsidRPr="007E35AD">
        <w:t>. See Instruction and Comment 10.1.2 for the mixed-motive instruction. Instruction 10.1.3 provides a pretext instruction.</w:t>
      </w:r>
    </w:p>
    <w:p w14:paraId="256B52E7" w14:textId="7B7C5D24" w:rsidR="006154EC" w:rsidRPr="001E4102" w:rsidRDefault="006154EC" w:rsidP="00DE616B">
      <w:pPr>
        <w:spacing w:after="240"/>
        <w:ind w:firstLine="720"/>
        <w:jc w:val="both"/>
      </w:pPr>
      <w:r w:rsidRPr="001E4102">
        <w:t xml:space="preserve">In </w:t>
      </w:r>
      <w:r w:rsidRPr="001E4102">
        <w:rPr>
          <w:i/>
        </w:rPr>
        <w:t xml:space="preserve">Miller v. Cigna Corp., </w:t>
      </w:r>
      <w:r w:rsidRPr="001E4102">
        <w:t xml:space="preserve">47 F.3d 586 (3d Cir. 1995) (en banc), an ADEA case, the court discussed the proper instruction to be given in a </w:t>
      </w:r>
      <w:r w:rsidR="00407728">
        <w:t>pre</w:t>
      </w:r>
      <w:r w:rsidRPr="001E4102">
        <w:t>text case:</w:t>
      </w:r>
    </w:p>
    <w:p w14:paraId="21583878" w14:textId="1F0FE909"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00ED1BAE">
        <w:rPr>
          <w:i/>
        </w:rPr>
        <w:t>Price Waterhouse</w:t>
      </w:r>
      <w:r w:rsidRPr="001E4102">
        <w:t xml:space="preserv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w:t>
      </w:r>
      <w:r w:rsidR="00407728">
        <w:t>n the outcome" of that process.</w:t>
      </w:r>
    </w:p>
    <w:p w14:paraId="507B2830" w14:textId="706E5D83" w:rsidR="006154EC" w:rsidRPr="001E4102" w:rsidRDefault="00AB748C" w:rsidP="009C6F31">
      <w:pPr>
        <w:spacing w:after="240"/>
        <w:jc w:val="both"/>
      </w:pPr>
      <w:r w:rsidRPr="00AB748C">
        <w:rPr>
          <w:i/>
        </w:rPr>
        <w:t>Miller</w:t>
      </w:r>
      <w:r w:rsidRPr="00AB748C">
        <w:t xml:space="preserve">, 47 F.3d at 595-96 (quoting </w:t>
      </w:r>
      <w:r w:rsidRPr="00AB748C">
        <w:rPr>
          <w:i/>
        </w:rPr>
        <w:t>Hazen Paper Co. v. Biggins</w:t>
      </w:r>
      <w:r w:rsidRPr="00AB748C">
        <w:t xml:space="preserve">, 507 U.S. 604, 610 (1993)). </w:t>
      </w:r>
      <w:r w:rsidR="006154EC" w:rsidRPr="001E4102">
        <w:t xml:space="preserve">(To the extent that </w:t>
      </w:r>
      <w:r w:rsidR="006154EC" w:rsidRPr="001E4102">
        <w:rPr>
          <w:i/>
        </w:rPr>
        <w:t xml:space="preserve">Miller </w:t>
      </w:r>
      <w:r w:rsidR="006154EC" w:rsidRPr="001E4102">
        <w:t xml:space="preserve">contemplated the use of the </w:t>
      </w:r>
      <w:r w:rsidR="006154EC" w:rsidRPr="001E4102">
        <w:rPr>
          <w:i/>
        </w:rPr>
        <w:t xml:space="preserve">Price Waterhouse </w:t>
      </w:r>
      <w:r w:rsidR="006154EC" w:rsidRPr="001E4102">
        <w:t xml:space="preserve">framework for ADEA claims, it has been overruled by </w:t>
      </w:r>
      <w:r w:rsidR="006154EC" w:rsidRPr="001E4102">
        <w:rPr>
          <w:i/>
        </w:rPr>
        <w:t>Gross v. FBL Financial Services, Inc.</w:t>
      </w:r>
      <w:r w:rsidR="006154EC" w:rsidRPr="001E4102">
        <w:t xml:space="preserve">, </w:t>
      </w:r>
      <w:r w:rsidR="00362492">
        <w:t>557 U.S. 167</w:t>
      </w:r>
      <w:r w:rsidR="003814E7">
        <w:t xml:space="preserve"> (2009).)</w:t>
      </w:r>
    </w:p>
    <w:p w14:paraId="1FC1960D" w14:textId="1B27FB6E" w:rsidR="006154EC" w:rsidRPr="001E4102" w:rsidRDefault="006154EC" w:rsidP="009C6F31">
      <w:pPr>
        <w:spacing w:after="240"/>
        <w:jc w:val="both"/>
      </w:pPr>
      <w:r w:rsidRPr="001E4102">
        <w:tab/>
        <w:t xml:space="preserve">The Court in </w:t>
      </w:r>
      <w:r w:rsidRPr="001E4102">
        <w:rPr>
          <w:i/>
        </w:rPr>
        <w:t xml:space="preserve">Miller </w:t>
      </w:r>
      <w:r w:rsidRPr="001E4102">
        <w:t>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w:t>
      </w:r>
      <w:r w:rsidR="0014710D">
        <w:t xml:space="preserve"> </w:t>
      </w:r>
      <w:r w:rsidR="0014710D">
        <w:rPr>
          <w:i/>
        </w:rPr>
        <w:t>Miller</w:t>
      </w:r>
      <w:r w:rsidR="0014710D">
        <w:t>, 47 F.3d at 598.</w:t>
      </w:r>
      <w:r w:rsidRPr="001E4102">
        <w:t xml:space="preserve"> </w:t>
      </w:r>
      <w:r w:rsidRPr="001E4102">
        <w:rPr>
          <w:i/>
        </w:rPr>
        <w:t>See Alifano v. Merck &amp; Co., Inc</w:t>
      </w:r>
      <w:r w:rsidRPr="001E4102">
        <w:t>., 175 F. Supp.</w:t>
      </w:r>
      <w:r w:rsidR="00FD46EB">
        <w:t xml:space="preserve"> </w:t>
      </w:r>
      <w:r w:rsidRPr="001E4102">
        <w:t>2d 792, 794 (E</w:t>
      </w:r>
      <w:r w:rsidR="001332C7">
        <w:t>.D. Pa.</w:t>
      </w:r>
      <w:r w:rsidRPr="001E4102">
        <w:t xml:space="preserve"> 2001) (applying the </w:t>
      </w:r>
      <w:r w:rsidRPr="001E4102">
        <w:rPr>
          <w:i/>
        </w:rPr>
        <w:t xml:space="preserve">McDonnell-Douglas </w:t>
      </w:r>
      <w:r w:rsidRPr="001E4102">
        <w:t xml:space="preserve">analysis to an FMLA claim). </w:t>
      </w:r>
    </w:p>
    <w:p w14:paraId="60A637AE" w14:textId="5BF5006A" w:rsidR="006154EC" w:rsidRDefault="006154EC" w:rsidP="00193AB4">
      <w:pPr>
        <w:spacing w:after="240"/>
        <w:jc w:val="both"/>
      </w:pPr>
      <w:r w:rsidRPr="001E4102">
        <w:tab/>
        <w:t>If the plaintiff establishes a prima facie case of discrimination,</w:t>
      </w:r>
      <w:r w:rsidR="00B57782" w:rsidRPr="001E4102">
        <w:rPr>
          <w:rStyle w:val="FootnoteReference"/>
        </w:rPr>
        <w:footnoteReference w:id="27"/>
      </w:r>
      <w:r w:rsidRPr="001E4102">
        <w:t xml:space="preserve"> the burden shifts to the defendant to produce evidence of a legitimate nondiscriminatory reason for the challenged </w:t>
      </w:r>
      <w:r w:rsidRPr="001E4102">
        <w:lastRenderedPageBreak/>
        <w:t xml:space="preserve">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8"/>
      </w:r>
      <w:r w:rsidRPr="001E4102">
        <w:t xml:space="preserve"> The </w:t>
      </w:r>
      <w:r w:rsidRPr="001E4102">
        <w:lastRenderedPageBreak/>
        <w:t xml:space="preserve">plaintiff retains the ultimate burden of proving intentional discrimination. </w:t>
      </w:r>
      <w:r w:rsidRPr="001E4102">
        <w:rPr>
          <w:i/>
        </w:rPr>
        <w:t>Chipol</w:t>
      </w:r>
      <w:r w:rsidR="0034624F">
        <w:rPr>
          <w:i/>
        </w:rPr>
        <w:t>l</w:t>
      </w:r>
      <w:r w:rsidRPr="001E4102">
        <w:rPr>
          <w:i/>
        </w:rPr>
        <w:t xml:space="preserve">ini v. Spencer Gifts, Inc., </w:t>
      </w:r>
      <w:r w:rsidRPr="001E4102">
        <w:t xml:space="preserve">814 F.2d 893, 897 (3d Cir. 1987) (en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1E4102">
        <w:rPr>
          <w:i/>
        </w:rPr>
        <w:t>Chipo</w:t>
      </w:r>
      <w:r w:rsidR="0034624F">
        <w:rPr>
          <w:i/>
        </w:rPr>
        <w:t>l</w:t>
      </w:r>
      <w:r w:rsidRPr="001E4102">
        <w:rPr>
          <w:i/>
        </w:rPr>
        <w:t xml:space="preserve">lini v. Spencer Gifts, Inc., </w:t>
      </w:r>
      <w:r w:rsidRPr="001E4102">
        <w:t xml:space="preserve">814 F.2d 893 (3d Cir. 1987) (en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Orix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r w:rsidR="00193AB4" w:rsidRPr="00193AB4">
        <w:rPr>
          <w:i/>
        </w:rPr>
        <w:t>Hansler v. Lehigh Valley Hosp. Network</w:t>
      </w:r>
      <w:r w:rsidR="00193AB4" w:rsidRPr="00193AB4">
        <w:t>, 798 F.3d 149, 159 (3d Cir. 2015)</w:t>
      </w:r>
      <w:r w:rsidR="00193AB4">
        <w:t xml:space="preserve"> (“Hansler alleges she attempted to invoke her right to leave, she was not advised of deficiencies in her medical certification, she was not provided a cure period, and she was fired a few weeks later as a result of her leave request. Through discovery, Hansler might be able to show that Lehigh Valley had a retaliatory motive and that the stated reason for termination was pretextual.”)</w:t>
      </w:r>
      <w:r w:rsidR="002969FE" w:rsidRPr="001E4102">
        <w:t>.</w:t>
      </w:r>
    </w:p>
    <w:p w14:paraId="336DCB61" w14:textId="67A50722" w:rsidR="00100E89" w:rsidRDefault="00100E89" w:rsidP="00100E89">
      <w:pPr>
        <w:spacing w:after="240"/>
        <w:jc w:val="both"/>
      </w:pPr>
      <w:r>
        <w:tab/>
        <w:t xml:space="preserve">One type of legitimate nondiscriminatory reason is an employer’s honest belief that the employee is misusing FMLA leave. </w:t>
      </w:r>
      <w:r w:rsidRPr="004F7A1B">
        <w:rPr>
          <w:i/>
        </w:rPr>
        <w:t>See Capps v. Mondelez Glob., LLC</w:t>
      </w:r>
      <w:r>
        <w:t xml:space="preserve">, 847 F.3d 144 (3d Cir. 2017). In </w:t>
      </w:r>
      <w:r w:rsidRPr="00330C59">
        <w:rPr>
          <w:i/>
        </w:rPr>
        <w:t>Capps</w:t>
      </w:r>
      <w:r>
        <w:t xml:space="preserve">, the employer “met its burden of demonstrating a legitimate, nondiscriminatory justification for Capps’ discharge with evidence that Capps was terminated for his misuse of FMLA leave and dishonesty surrounding the leave in violation of Mondelez’s policies.”  </w:t>
      </w:r>
      <w:r w:rsidRPr="00330C59">
        <w:rPr>
          <w:i/>
        </w:rPr>
        <w:t>Id</w:t>
      </w:r>
      <w:r>
        <w:t xml:space="preserve">. at 152.  To rebut that nondiscriminatory justification, it did not suffice for the plaintiff to show that </w:t>
      </w:r>
      <w:r>
        <w:lastRenderedPageBreak/>
        <w:t xml:space="preserve">the employer was mistaken in its belief; rebuttal would have required “evidence indicating that Mondelez did not honestly hold that belief.” </w:t>
      </w:r>
      <w:r w:rsidRPr="00330C59">
        <w:rPr>
          <w:i/>
        </w:rPr>
        <w:t>Id</w:t>
      </w:r>
      <w:r>
        <w:t>. at 155. In a case featuring this type of honest-belief defense, the court should tailor the paragraph of Instruction 10.1.3 that deals with pretext – for example, by revising that paragraph as shown here:</w:t>
      </w:r>
      <w:r>
        <w:tab/>
      </w:r>
    </w:p>
    <w:p w14:paraId="058B80F9" w14:textId="5525857D" w:rsidR="00621BB0" w:rsidRPr="001E4102" w:rsidRDefault="00100E89" w:rsidP="00330C59">
      <w:pPr>
        <w:spacing w:after="240"/>
        <w:ind w:left="720"/>
        <w:jc w:val="both"/>
      </w:pPr>
      <w:r>
        <w:tab/>
        <w:t xml:space="preserve">[Defendant] has given a nondiscriminatory reason for its [describe defendant’s action].  Specifically, [defendant] states that it [describe defendant’s action] because it [specify defendant’s honest-belief defense – e.g., “believed that [plaintiff] was misusing her FMLA leave”]. </w:t>
      </w:r>
      <w:r w:rsidR="00BF0138" w:rsidRPr="00BF0138">
        <w:rPr>
          <w:szCs w:val="24"/>
        </w:rPr>
        <w:t>If you find that [defendant] honestly held that belief and if you find that this belief caused the [adverse employment action], then you must find for [defendant].</w:t>
      </w:r>
      <w:r>
        <w:t xml:space="preserve"> If you disbelieve [defendant’s] </w:t>
      </w:r>
      <w:r w:rsidR="00BF0138">
        <w:t>stated reason</w:t>
      </w:r>
      <w:r>
        <w:t xml:space="preserve"> for its conduct, then you may, but need not, find that [plaintiff] has proved intentional discrimination. In assessing [defendant’s] explanations for its conduct, the key question is not whether [defendant] was correct in its belief, but rather whether [defendant] honestly held that belief. You cannot find intentional discrimination simply because you conclude that [defendant’s] belief was incorrect. You are not to consider [defendant’s] wisdom. However, you may consider whether </w:t>
      </w:r>
      <w:r w:rsidR="00BF0138">
        <w:t xml:space="preserve">[plaintiff] has proven that </w:t>
      </w:r>
      <w:r>
        <w:t>[defendant’s] reason is merely a cover-up for discrimination.</w:t>
      </w:r>
    </w:p>
    <w:p w14:paraId="1A3DF1F9" w14:textId="77777777" w:rsidR="0039202B" w:rsidRPr="000B2DAB" w:rsidRDefault="0039202B" w:rsidP="0039202B">
      <w:pPr>
        <w:shd w:val="clear" w:color="auto" w:fill="FFFFFF" w:themeFill="background1"/>
        <w:spacing w:after="240"/>
        <w:jc w:val="both"/>
        <w:rPr>
          <w:szCs w:val="24"/>
        </w:rPr>
      </w:pPr>
      <w:r w:rsidRPr="000B2DAB">
        <w:rPr>
          <w:i/>
          <w:szCs w:val="24"/>
        </w:rPr>
        <w:t>Adverse Employment Action</w:t>
      </w:r>
    </w:p>
    <w:p w14:paraId="55DDBCC3" w14:textId="67E57B95" w:rsidR="0039202B" w:rsidRPr="0039202B" w:rsidRDefault="0039202B" w:rsidP="0039202B">
      <w:pPr>
        <w:spacing w:after="240"/>
        <w:jc w:val="both"/>
      </w:pPr>
      <w:r w:rsidRPr="000B2DAB">
        <w:rPr>
          <w:szCs w:val="24"/>
        </w:rPr>
        <w:tab/>
        <w:t>Instruction 10.1.3’s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r w:rsidR="00DF3239">
        <w:rPr>
          <w:szCs w:val="24"/>
        </w:rPr>
        <w:t>’ ”</w:t>
      </w:r>
      <w:r w:rsidRPr="000B2DAB">
        <w:rPr>
          <w:szCs w:val="24"/>
        </w:rPr>
        <w:t xml:space="preserve"> </w:t>
      </w:r>
      <w:r w:rsidRPr="000B2DAB">
        <w:rPr>
          <w:i/>
          <w:szCs w:val="24"/>
        </w:rPr>
        <w:t>Budhun v. Reading Hosp. &amp; Med. Ctr</w:t>
      </w:r>
      <w:r w:rsidRPr="000B2DAB">
        <w:rPr>
          <w:szCs w:val="24"/>
        </w:rPr>
        <w:t xml:space="preserve">., 765 F.3d 245, 257 (3d Cir. 2014) (quoting </w:t>
      </w:r>
      <w:r w:rsidRPr="000B2DAB">
        <w:rPr>
          <w:i/>
          <w:szCs w:val="24"/>
        </w:rPr>
        <w:t>Robinson v. City of Pittsburgh</w:t>
      </w:r>
      <w:r w:rsidRPr="000B2DAB">
        <w:rPr>
          <w:szCs w:val="24"/>
        </w:rPr>
        <w:t>, 120 F.3d 1286, 1300 (3d Cir.</w:t>
      </w:r>
      <w:r w:rsidR="001332C7">
        <w:rPr>
          <w:szCs w:val="24"/>
        </w:rPr>
        <w:t xml:space="preserve"> </w:t>
      </w:r>
      <w:r w:rsidRPr="000B2DAB">
        <w:rPr>
          <w:szCs w:val="24"/>
        </w:rPr>
        <w:t xml:space="preserve">1997)). In </w:t>
      </w:r>
      <w:r w:rsidRPr="000B2DAB">
        <w:rPr>
          <w:i/>
          <w:szCs w:val="24"/>
        </w:rPr>
        <w:t>Budhun</w:t>
      </w:r>
      <w:r w:rsidRPr="000B2DAB">
        <w:rPr>
          <w:szCs w:val="24"/>
        </w:rPr>
        <w:t xml:space="preserve"> – an FMLA case under 29 C.F.R. § 825.220(c) – the Court of Appeals noted but did not decide the question whether “the less restrictive standard for ‘adverse employment action’ promulgated in the Title VII context by </w:t>
      </w:r>
      <w:r w:rsidRPr="000B2DAB">
        <w:rPr>
          <w:i/>
          <w:szCs w:val="24"/>
        </w:rPr>
        <w:t>Burlington Northern &amp; Santa Fe Railway Co. v. White</w:t>
      </w:r>
      <w:r w:rsidRPr="000B2DAB">
        <w:rPr>
          <w:szCs w:val="24"/>
        </w:rPr>
        <w:t xml:space="preserve">, 548 U.S. 53 … (2006)” can apply in such FMLA cases. </w:t>
      </w:r>
      <w:r w:rsidRPr="000B2DAB">
        <w:rPr>
          <w:i/>
          <w:szCs w:val="24"/>
        </w:rPr>
        <w:t>Budhun</w:t>
      </w:r>
      <w:r w:rsidRPr="000B2DAB">
        <w:rPr>
          <w:szCs w:val="24"/>
        </w:rPr>
        <w:t>, 765 F.3d at 257.</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9"/>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30"/>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6F412291"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“retaliation” </w:t>
      </w:r>
      <w:r w:rsidR="00820F46" w:rsidRPr="001E4102">
        <w:t>claims</w:t>
      </w:r>
      <w:r w:rsidRPr="001E4102">
        <w:t xml:space="preserve">, but </w:t>
      </w:r>
      <w:r w:rsidR="00820F46" w:rsidRPr="001E4102">
        <w:t>those claims seek</w:t>
      </w:r>
      <w:r w:rsidRPr="001E4102">
        <w:t xml:space="preserve"> recovery for</w:t>
      </w:r>
      <w:r w:rsidR="00492AED">
        <w:t xml:space="preserve"> retaliation </w:t>
      </w:r>
      <w:r w:rsidR="00323781">
        <w:t>against</w:t>
      </w:r>
      <w:r w:rsidRPr="001E4102">
        <w:t xml:space="preserve"> the plaintiff</w:t>
      </w:r>
      <w:r w:rsidR="00492AED">
        <w:t xml:space="preserve"> for</w:t>
      </w:r>
      <w:r w:rsidRPr="001E4102">
        <w:t xml:space="preserve">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31"/>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132340BF" w:rsidR="006154EC" w:rsidRPr="001E4102" w:rsidRDefault="006154EC" w:rsidP="009C6F31">
      <w:pPr>
        <w:widowControl w:val="0"/>
        <w:spacing w:after="240"/>
        <w:jc w:val="both"/>
      </w:pPr>
      <w:r w:rsidRPr="001E4102">
        <w:tab/>
        <w:t xml:space="preserve">The literal terms of 29 U.S.C. § 2615(b) </w:t>
      </w:r>
      <w:r w:rsidR="00E95C42">
        <w:t>might</w:t>
      </w:r>
      <w:r w:rsidRPr="001E4102">
        <w:t xml:space="preserve">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352DAF9E" w:rsidR="006154EC" w:rsidRPr="001E4102" w:rsidRDefault="006154EC" w:rsidP="009C6F31">
      <w:pPr>
        <w:widowControl w:val="0"/>
        <w:spacing w:after="240"/>
        <w:jc w:val="both"/>
      </w:pPr>
      <w:r w:rsidRPr="001E4102">
        <w:tab/>
        <w:t xml:space="preserve">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w:t>
      </w:r>
      <w:r w:rsidRPr="00497AB4">
        <w:rPr>
          <w:i/>
        </w:rPr>
        <w:t>See</w:t>
      </w:r>
      <w:r w:rsidRPr="001E4102">
        <w:t xml:space="preserve"> the commentary to Instruction 11.1.2.</w:t>
      </w:r>
      <w:r w:rsidR="00311C3E" w:rsidRPr="001E4102">
        <w:rPr>
          <w:rStyle w:val="FootnoteReference"/>
        </w:rPr>
        <w:footnoteReference w:id="32"/>
      </w:r>
      <w:r w:rsidRPr="001E4102">
        <w:t xml:space="preserve"> This instruction therefore includes informal complaints as protected activity. </w:t>
      </w:r>
      <w:r w:rsidRPr="00497AB4">
        <w:rPr>
          <w:i/>
        </w:rPr>
        <w:t>See</w:t>
      </w:r>
      <w:r w:rsidRPr="001E4102">
        <w:rPr>
          <w:i/>
        </w:rPr>
        <w:t xml:space="preserve"> Sabbrese v. Lowe’s Home Centers, Inc</w:t>
      </w:r>
      <w:r w:rsidRPr="001E4102">
        <w:t>., 320 F. Supp.</w:t>
      </w:r>
      <w:r w:rsidR="00FD46EB">
        <w:t xml:space="preserve"> </w:t>
      </w:r>
      <w:r w:rsidRPr="001E4102">
        <w:t>2d 311, 324 (W</w:t>
      </w:r>
      <w:r w:rsidR="001332C7">
        <w:t>.D. Pa.</w:t>
      </w:r>
      <w:r w:rsidRPr="001E4102">
        <w:t xml:space="preserve"> 2004) (finding a valid retaliation claim when the plaintiff was discharged after informally complaining to the employer about being disciplined for taking leave).</w:t>
      </w:r>
      <w:r w:rsidR="00ED1B0E">
        <w:rPr>
          <w:rStyle w:val="FootnoteReference"/>
        </w:rPr>
        <w:footnoteReference w:id="33"/>
      </w:r>
      <w:r w:rsidRPr="001E4102">
        <w:t xml:space="preserve"> </w:t>
      </w:r>
    </w:p>
    <w:p w14:paraId="7ED1451B" w14:textId="036B7ACC" w:rsidR="00B4511C" w:rsidRPr="001E4102" w:rsidRDefault="00157F9F" w:rsidP="009C6F31">
      <w:pPr>
        <w:spacing w:after="240"/>
        <w:ind w:firstLine="720"/>
        <w:jc w:val="both"/>
      </w:pPr>
      <w:r w:rsidRPr="001E4102">
        <w:t>In accord with the retaliation instructions in other Chapters (</w:t>
      </w:r>
      <w:r w:rsidRPr="00497AB4">
        <w:rPr>
          <w:i/>
        </w:rPr>
        <w:t>see</w:t>
      </w:r>
      <w:r w:rsidRPr="001E4102">
        <w:t xml:space="preserve">, </w:t>
      </w:r>
      <w:r w:rsidRPr="00497AB4">
        <w:rPr>
          <w:i/>
        </w:rPr>
        <w:t>e.g.</w:t>
      </w:r>
      <w:r w:rsidRPr="001E4102">
        <w:t xml:space="preserve">,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w:t>
      </w:r>
      <w:r w:rsidRPr="001E4102">
        <w:lastRenderedPageBreak/>
        <w:t xml:space="preserve">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r w:rsidRPr="001E4102">
        <w:rPr>
          <w:i/>
        </w:rPr>
        <w:t>Oncale</w:t>
      </w:r>
      <w:r w:rsidRPr="001E4102">
        <w:t xml:space="preserve"> </w:t>
      </w:r>
      <w:r w:rsidRPr="00497AB4">
        <w:rPr>
          <w:i/>
        </w:rPr>
        <w:t>v.</w:t>
      </w:r>
      <w:r w:rsidRPr="001E4102">
        <w:t xml:space="preserve">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r w:rsidRPr="001E4102">
        <w:rPr>
          <w:i/>
        </w:rPr>
        <w:t>Suders,</w:t>
      </w:r>
      <w:r w:rsidRPr="001E4102">
        <w:t xml:space="preserve"> 542 U.S., at 141, 124 S. Ct. 2342, 159 L. Ed. 2d 204 (constructive discharge doctrine); </w:t>
      </w:r>
      <w:r w:rsidRPr="001E4102">
        <w:rPr>
          <w:i/>
        </w:rPr>
        <w:t>Harris</w:t>
      </w:r>
      <w:r w:rsidRPr="001E4102">
        <w:t xml:space="preserve"> </w:t>
      </w:r>
      <w:r w:rsidRPr="00497AB4">
        <w:rPr>
          <w:i/>
        </w:rPr>
        <w:t>v.</w:t>
      </w:r>
      <w:r w:rsidRPr="001E4102">
        <w:t xml:space="preserve">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 xml:space="preserve">We phrase the standard in general terms because the significance of any given act of retaliation will often depend upon the particular circumstances. Context matters. . . . A schedule change in an employee's work schedule may make little difference to many </w:t>
      </w:r>
      <w:r w:rsidRPr="001E4102">
        <w:lastRenderedPageBreak/>
        <w:t>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34"/>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35"/>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w:t>
      </w:r>
      <w:r w:rsidRPr="001E4102">
        <w:lastRenderedPageBreak/>
        <w:t xml:space="preserve">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r w:rsidR="00127A0C" w:rsidRPr="001E4102">
        <w:t>discriminat</w:t>
      </w:r>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xml:space="preserve">., 994 F. Supp. 288, 291 (M.D. Pa. 1998) .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w:t>
      </w:r>
      <w:r w:rsidRPr="001E4102">
        <w:lastRenderedPageBreak/>
        <w:t xml:space="preserve">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D0F1587" w:rsidR="00127A0C" w:rsidRPr="001E4102" w:rsidRDefault="003E6682" w:rsidP="009C6F31">
      <w:pPr>
        <w:spacing w:after="240"/>
        <w:ind w:firstLine="720"/>
        <w:jc w:val="both"/>
      </w:pPr>
      <w:r w:rsidRPr="001E4102">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36"/>
      </w:r>
      <w:r w:rsidRPr="001E4102">
        <w:t xml:space="preserve"> it</w:t>
      </w:r>
      <w:r w:rsidR="00127A0C" w:rsidRPr="001E4102">
        <w:t xml:space="preserve"> is unclear whether a mixed</w:t>
      </w:r>
      <w:r w:rsidR="00127A0C" w:rsidRPr="001E4102">
        <w:noBreakHyphen/>
        <w:t>motive framework can appropriately apply to FMLA retaliation claims under Section 2615(b).</w:t>
      </w:r>
      <w:r w:rsidR="00221591" w:rsidRPr="00221591">
        <w:rPr>
          <w:rStyle w:val="FootnoteReference"/>
        </w:rPr>
        <w:footnoteReference w:id="37"/>
      </w:r>
      <w:r w:rsidR="00127A0C" w:rsidRPr="001E4102">
        <w:t xml:space="preserve">  </w:t>
      </w:r>
    </w:p>
    <w:p w14:paraId="2452427C" w14:textId="77777777" w:rsidR="006154EC" w:rsidRPr="001E4102" w:rsidRDefault="006154EC" w:rsidP="009C6F31">
      <w:pPr>
        <w:widowControl w:val="0"/>
        <w:spacing w:after="240"/>
        <w:jc w:val="both"/>
      </w:pPr>
      <w:r w:rsidRPr="001E4102">
        <w:rPr>
          <w:i/>
        </w:rPr>
        <w:t>Timing</w:t>
      </w:r>
    </w:p>
    <w:p w14:paraId="02CD5E06" w14:textId="76334A47"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see, e.g., Sabbrese v. Lowe’s Home Centers, Inc</w:t>
      </w:r>
      <w:r w:rsidRPr="001E4102">
        <w:t>., 320 F. Supp.</w:t>
      </w:r>
      <w:r w:rsidR="00FD46EB">
        <w:t xml:space="preserve"> </w:t>
      </w:r>
      <w:r w:rsidRPr="001E4102">
        <w:t>2d 311, 324 (W</w:t>
      </w:r>
      <w:r w:rsidR="001332C7">
        <w:t>.D. Pa.</w:t>
      </w:r>
      <w:r w:rsidRPr="001E4102">
        <w:t xml:space="preserve">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See generally Bonkowski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38"/>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See Bonkowski</w:t>
      </w:r>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at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r w:rsidRPr="001E4102">
        <w:rPr>
          <w:i/>
        </w:rPr>
        <w:t>Schaar v. Lehigh Valley Health Services, Inc.</w:t>
      </w:r>
      <w:r w:rsidRPr="001E4102">
        <w:t xml:space="preserve">, 598 F.3d 156, 161 (3d Cir. 2010).  The Committee has not attempted to determine whether the </w:t>
      </w:r>
      <w:r w:rsidRPr="001E4102">
        <w:rPr>
          <w:i/>
        </w:rPr>
        <w:t>Schaar</w:t>
      </w:r>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3D4587DD"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see, e.g., Victorelli v. Shadyside Hospital,</w:t>
      </w:r>
      <w:r w:rsidRPr="001E4102">
        <w:t xml:space="preserve"> 128 F.3d 184, 190 (3d Cir. 1997)(“A factfinder may be able reasonably to find that Victorelli suffers from something more severe than a ‘minor ulcer’ and as such is entitled to FMLA protection.”); </w:t>
      </w:r>
      <w:r w:rsidRPr="001E4102">
        <w:rPr>
          <w:i/>
        </w:rPr>
        <w:t>Marrero v. Camden County Board of Social Services</w:t>
      </w:r>
      <w:r w:rsidRPr="001E4102">
        <w:t>, 164 F. Supp.</w:t>
      </w:r>
      <w:r w:rsidR="00FD46EB">
        <w:t xml:space="preserve"> </w:t>
      </w:r>
      <w:r w:rsidRPr="001E4102">
        <w:t>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6"/>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2F79F6B0"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see Oby v. Baton Rouge Marriott</w:t>
      </w:r>
      <w:r w:rsidRPr="001E4102">
        <w:t>, 329 F. Supp.</w:t>
      </w:r>
      <w:r w:rsidR="00FD46EB">
        <w:t xml:space="preserve"> </w:t>
      </w:r>
      <w:r w:rsidRPr="001E4102">
        <w:t>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7"/>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Your verdict must be for [defendant] if [defendant] proves all of  the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4F989C3"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see Oby v. Baton Rouge Marriott</w:t>
      </w:r>
      <w:r w:rsidRPr="001E4102">
        <w:t>, 329 F. Supp.</w:t>
      </w:r>
      <w:r w:rsidR="00FD46EB">
        <w:t xml:space="preserve"> </w:t>
      </w:r>
      <w:r w:rsidRPr="001E4102">
        <w:t>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8"/>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8B572AA" w:rsidR="006154EC" w:rsidRPr="001E4102"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3FCBAC0"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19"/>
          <w:pgSz w:w="12240" w:h="15840"/>
          <w:pgMar w:top="1920" w:right="1440" w:bottom="1920" w:left="1440" w:header="900" w:footer="1440" w:gutter="0"/>
          <w:lnNumType w:countBy="1" w:distance="576" w:restart="newSection"/>
          <w:cols w:space="720"/>
          <w:docGrid w:linePitch="326"/>
        </w:sectPr>
      </w:pPr>
    </w:p>
    <w:p w14:paraId="0445514C" w14:textId="72F2A728" w:rsidR="006154EC" w:rsidRPr="001E4102" w:rsidRDefault="006154EC" w:rsidP="009C6F31">
      <w:pPr>
        <w:widowControl w:val="0"/>
        <w:spacing w:after="240"/>
        <w:jc w:val="both"/>
        <w:rPr>
          <w:b/>
          <w:sz w:val="28"/>
        </w:rPr>
      </w:pPr>
      <w:r w:rsidRPr="001E4102">
        <w:rPr>
          <w:b/>
          <w:sz w:val="28"/>
        </w:rPr>
        <w:lastRenderedPageBreak/>
        <w:t>10.4.2    FMLA Damages — Back Pay</w:t>
      </w:r>
      <w:r w:rsidR="001332C7">
        <w:rPr>
          <w:b/>
          <w:sz w:val="28"/>
        </w:rPr>
        <w:t xml:space="preserve"> </w:t>
      </w:r>
      <w:r w:rsidR="001332C7" w:rsidRPr="001E4102">
        <w:rPr>
          <w:b/>
          <w:sz w:val="28"/>
        </w:rPr>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62038FE2" w:rsidR="006154EC" w:rsidRPr="00497AB4"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62FDE5F8"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wi</w:t>
      </w:r>
      <w:r w:rsidR="00323781">
        <w:t>l</w:t>
      </w:r>
      <w:r w:rsidRPr="001E4102">
        <w:t>lfulness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0"/>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9"/>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3169A8F2"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994 F. Supp. 288, 291 (M.D. Pa. 1998) (reasoning that “the statute itself by including ‘actual monetary compensation’ as a separate item of damage places a limited definition on ‘other compensation</w:t>
      </w:r>
      <w:r w:rsidR="00DF3239">
        <w:t>’ ”</w:t>
      </w:r>
      <w:r w:rsidRPr="001E4102">
        <w:t xml:space="preserve">;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281 F. Supp.</w:t>
      </w:r>
      <w:r w:rsidR="00FD46EB">
        <w:t xml:space="preserve"> </w:t>
      </w:r>
      <w:r w:rsidRPr="001E4102">
        <w:t xml:space="preserve">2d 250, 254 (D.D.C. 2003) :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21E9F471" w:rsidR="006154EC" w:rsidRPr="001E4102" w:rsidRDefault="006154EC" w:rsidP="009C6F31">
      <w:pPr>
        <w:widowControl w:val="0"/>
        <w:spacing w:after="240"/>
        <w:jc w:val="both"/>
      </w:pPr>
      <w:r w:rsidRPr="001E4102">
        <w:tab/>
        <w:t xml:space="preserve">Punitive damages cannot be recovered under the FMLA. </w:t>
      </w:r>
      <w:r w:rsidRPr="001E4102">
        <w:rPr>
          <w:i/>
        </w:rPr>
        <w:t>Zawadowicz v. CVS Corp</w:t>
      </w:r>
      <w:r w:rsidRPr="001E4102">
        <w:t>., 99 F. Supp.</w:t>
      </w:r>
      <w:r w:rsidR="00FD46EB">
        <w:t xml:space="preserve"> </w:t>
      </w:r>
      <w:r w:rsidRPr="001E4102">
        <w:t>2d 518, 534 (D.N.J. 2000)</w:t>
      </w:r>
      <w:r w:rsidRPr="001E4102">
        <w:rPr>
          <w:i/>
        </w:rPr>
        <w:t xml:space="preserve"> </w:t>
      </w:r>
      <w:r w:rsidRPr="001E4102">
        <w:t>(noting that nothing in the FMLA damages provision,   29 U.S.C. § 2617, authorizes an award of punitive damages)</w:t>
      </w:r>
      <w:r w:rsidRPr="001E4102">
        <w:rPr>
          <w:i/>
        </w:rPr>
        <w:t>; Oby v. Baton Rouge Marriott</w:t>
      </w:r>
      <w:r w:rsidRPr="001E4102">
        <w:t>, 329 F. Supp.</w:t>
      </w:r>
      <w:r w:rsidR="00FD46EB">
        <w:t xml:space="preserve"> </w:t>
      </w:r>
      <w:r w:rsidRPr="001E4102">
        <w:t>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2753610E"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r w:rsidRPr="001E4102">
        <w:rPr>
          <w:i/>
        </w:rPr>
        <w:t>Zawadowicz v. CVS Corp.</w:t>
      </w:r>
      <w:r w:rsidRPr="001E4102">
        <w:t>, 99 F. Supp.</w:t>
      </w:r>
      <w:r w:rsidR="00FD46EB">
        <w:t xml:space="preserve"> </w:t>
      </w:r>
      <w:r w:rsidRPr="001E4102">
        <w:t xml:space="preserve">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3D832A19"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001332C7" w:rsidRPr="001332C7">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1" w:name="1107-1278"/>
      <w:bookmarkStart w:id="2" w:name="a1107_1278"/>
      <w:bookmarkEnd w:id="1"/>
      <w:bookmarkEnd w:id="2"/>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74290381"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102 F. Supp.</w:t>
      </w:r>
      <w:r w:rsidR="00FD46EB">
        <w:t xml:space="preserve"> </w:t>
      </w:r>
      <w:r w:rsidRPr="001E4102">
        <w:t>2d 266, 269 (M</w:t>
      </w:r>
      <w:r w:rsidR="001332C7">
        <w:t>.D. Pa.</w:t>
      </w:r>
      <w:r w:rsidRPr="001E4102">
        <w:t xml:space="preserve"> 2000) (while plaintiff had a cause of action for interference, she suffered no wage or other monetary loss, therefore “she cannot obtain relief under the FMLA and her claim must be dismissed.”);  </w:t>
      </w:r>
      <w:r w:rsidRPr="001E4102">
        <w:rPr>
          <w:i/>
        </w:rPr>
        <w:t>Oby v. Baton Rouge Marriott</w:t>
      </w:r>
      <w:r w:rsidRPr="001E4102">
        <w:t>, 329 F. Supp.</w:t>
      </w:r>
      <w:r w:rsidR="00FD46EB">
        <w:t xml:space="preserve"> </w:t>
      </w:r>
      <w:r w:rsidRPr="001E4102">
        <w:t>2d 772, 788 (M.</w:t>
      </w:r>
      <w:r w:rsidR="00323781">
        <w:t xml:space="preserve"> </w:t>
      </w:r>
      <w:r w:rsidRPr="001E4102">
        <w:t>D.</w:t>
      </w:r>
      <w:r w:rsidR="00323781">
        <w:t xml:space="preserve"> </w:t>
      </w:r>
      <w:r w:rsidRPr="001E4102">
        <w:t>La. 2004) (“It is clear that nominal damages are not available under the FMLA because the statutory language of the FMLA specifically limits recovery to actual monetary losses.”).</w:t>
      </w:r>
    </w:p>
    <w:sectPr w:rsidR="006154EC" w:rsidRPr="00374CF1" w:rsidSect="00F20709">
      <w:headerReference w:type="default" r:id="rId23"/>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A0B2" w14:textId="77777777" w:rsidR="00B342FF" w:rsidRDefault="00B342FF">
      <w:r>
        <w:separator/>
      </w:r>
    </w:p>
  </w:endnote>
  <w:endnote w:type="continuationSeparator" w:id="0">
    <w:p w14:paraId="7E73B4BC" w14:textId="77777777" w:rsidR="00B342FF" w:rsidRDefault="00B342FF">
      <w:r>
        <w:continuationSeparator/>
      </w:r>
    </w:p>
  </w:endnote>
  <w:endnote w:type="continuationNotice" w:id="1">
    <w:p w14:paraId="14D541A2" w14:textId="77777777" w:rsidR="00B342FF" w:rsidRDefault="00B34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1390" w14:textId="77777777" w:rsidR="00617123" w:rsidRDefault="00617123" w:rsidP="00B96E4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FDCC" w14:textId="3F707CA6" w:rsidR="00617123" w:rsidRPr="00374CF1" w:rsidRDefault="00617123">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Pr>
        <w:rFonts w:ascii="Century Schoolbook" w:hAnsi="Century Schoolbook"/>
        <w:noProof/>
      </w:rPr>
      <w:t>21</w:t>
    </w:r>
    <w:r w:rsidRPr="00374CF1">
      <w:rPr>
        <w:rFonts w:ascii="Century Schoolbook" w:hAnsi="Century Schoolbook"/>
        <w:noProof/>
      </w:rPr>
      <w:fldChar w:fldCharType="end"/>
    </w:r>
  </w:p>
  <w:p w14:paraId="0D213A94" w14:textId="7CC1CAF3" w:rsidR="00617123" w:rsidRPr="0072581A" w:rsidRDefault="00617123"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Pr>
        <w:rFonts w:ascii="Century Schoolbook" w:hAnsi="Century Schoolbook"/>
        <w:i/>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6D2D" w14:textId="77777777" w:rsidR="00B342FF" w:rsidRDefault="00B342FF">
      <w:r>
        <w:separator/>
      </w:r>
    </w:p>
  </w:footnote>
  <w:footnote w:type="continuationSeparator" w:id="0">
    <w:p w14:paraId="01F951DF" w14:textId="77777777" w:rsidR="00B342FF" w:rsidRDefault="00B342FF">
      <w:r>
        <w:continuationSeparator/>
      </w:r>
    </w:p>
  </w:footnote>
  <w:footnote w:type="continuationNotice" w:id="1">
    <w:p w14:paraId="608304D7" w14:textId="77777777" w:rsidR="00B342FF" w:rsidRDefault="00B342FF"/>
  </w:footnote>
  <w:footnote w:id="2">
    <w:p w14:paraId="014A2D3F" w14:textId="60DE893D" w:rsidR="00617123" w:rsidRDefault="00617123">
      <w:pPr>
        <w:pStyle w:val="FootnoteText"/>
      </w:pPr>
      <w:r>
        <w:rPr>
          <w:rStyle w:val="FootnoteReference"/>
        </w:rPr>
        <w:t>*</w:t>
      </w:r>
      <w:r>
        <w:t xml:space="preserve"> </w:t>
      </w:r>
      <w:r w:rsidRPr="006C7D9E">
        <w:rPr>
          <w:szCs w:val="24"/>
        </w:rPr>
        <w:t xml:space="preserve">These instructions and associated commentary address the Family &amp; Medical Leave Act as amended through 2019. In 2020, as part of the federal response to the Covid-19 pandemic, Congress </w:t>
      </w:r>
      <w:r>
        <w:rPr>
          <w:szCs w:val="24"/>
        </w:rPr>
        <w:t xml:space="preserve">passed </w:t>
      </w:r>
      <w:r w:rsidRPr="006C7D9E">
        <w:rPr>
          <w:szCs w:val="24"/>
        </w:rPr>
        <w:t>the Families First Coronavirus Response Act, 116 P.L. 127, 2020 Enacted H.R. 6201, 116 Enacted H.R. 6201, 134 Stat. 178, which included the Emergency Family and Medical Leave Expansion Act as well as the Emergency Paid Sick Leave Act.  Since the Emergency FMLA, effective from April 1, 2020 until December 31, 2020, departs in significant respects from the “permanent” FMLA, these instructions do not purport to apply to claims under that statute.</w:t>
      </w:r>
    </w:p>
  </w:footnote>
  <w:footnote w:id="3">
    <w:p w14:paraId="70C10124" w14:textId="0867D07F" w:rsidR="00617123" w:rsidRDefault="00617123"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4">
    <w:p w14:paraId="0CE2B6A7" w14:textId="13B1FD5E" w:rsidR="00617123" w:rsidRPr="00CF726C" w:rsidRDefault="00617123"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spring 2016,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5">
    <w:p w14:paraId="16BBF1F9" w14:textId="480BFC48" w:rsidR="00617123" w:rsidRDefault="00617123">
      <w:pPr>
        <w:pStyle w:val="FootnoteText"/>
      </w:pPr>
      <w:r>
        <w:rPr>
          <w:rStyle w:val="FootnoteReference"/>
        </w:rPr>
        <w:footnoteRef/>
      </w:r>
      <w:r>
        <w:t xml:space="preserve"> </w:t>
      </w:r>
      <w:r w:rsidRPr="00424488">
        <w:rPr>
          <w:i/>
          <w:iCs/>
        </w:rPr>
        <w:t>See</w:t>
      </w:r>
      <w:r w:rsidRPr="00424488">
        <w:t xml:space="preserve"> the National Defense Authorization Act for Fiscal Year 2010, Pub. L. No. 111-84, October 28, 2009, 123 Stat 2190.</w:t>
      </w:r>
    </w:p>
  </w:footnote>
  <w:footnote w:id="6">
    <w:p w14:paraId="3755B578" w14:textId="77777777" w:rsidR="00617123" w:rsidRDefault="00617123"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7">
    <w:p w14:paraId="6E1F8BF1" w14:textId="77777777" w:rsidR="00617123" w:rsidRDefault="00617123"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8">
    <w:p w14:paraId="4B48841A" w14:textId="77777777" w:rsidR="00617123" w:rsidRDefault="00617123"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9">
    <w:p w14:paraId="63122320" w14:textId="77777777" w:rsidR="00617123" w:rsidRPr="00587C7F" w:rsidRDefault="00617123"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10">
    <w:p w14:paraId="5BA6958B" w14:textId="77777777" w:rsidR="00617123" w:rsidRPr="00DE3881" w:rsidRDefault="00617123"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11">
    <w:p w14:paraId="3800B456" w14:textId="77777777" w:rsidR="00617123" w:rsidRDefault="00617123"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2">
    <w:p w14:paraId="37993774" w14:textId="0DF18027" w:rsidR="00617123" w:rsidRDefault="00617123">
      <w:pPr>
        <w:pStyle w:val="FootnoteText"/>
      </w:pPr>
      <w:r>
        <w:rPr>
          <w:rStyle w:val="FootnoteReference"/>
        </w:rPr>
        <w:footnoteRef/>
      </w:r>
      <w:r>
        <w:t xml:space="preserve"> </w:t>
      </w:r>
      <w:r w:rsidRPr="00AF52BE">
        <w:t xml:space="preserve">Where an employee complains solely of an employer’s </w:t>
      </w:r>
      <w:r w:rsidRPr="00AF52BE">
        <w:rPr>
          <w:i/>
        </w:rPr>
        <w:t>unsuccessful</w:t>
      </w:r>
      <w:r w:rsidRPr="00AF52BE">
        <w:t xml:space="preserve"> attempt to discourage the taking of FMLA leave, it appears that no FMLA interference claim arises.  See the Comment for a discussion of </w:t>
      </w:r>
      <w:r w:rsidRPr="00AF52BE">
        <w:rPr>
          <w:i/>
        </w:rPr>
        <w:t>Fraternal Order of Police v. City of Camden</w:t>
      </w:r>
      <w:r w:rsidRPr="00AF52BE">
        <w:t>, 842 F.3d 231, 245-46 (3d Cir. 2016).</w:t>
      </w:r>
    </w:p>
  </w:footnote>
  <w:footnote w:id="13">
    <w:p w14:paraId="5AFA46EF" w14:textId="77777777" w:rsidR="00617123" w:rsidRPr="001D6709" w:rsidRDefault="00617123"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4">
    <w:p w14:paraId="051BB401" w14:textId="77777777" w:rsidR="00617123" w:rsidRPr="003109FA" w:rsidRDefault="00617123"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5">
    <w:p w14:paraId="1049FF1B" w14:textId="5DF2166E" w:rsidR="00617123" w:rsidRDefault="00617123">
      <w:pPr>
        <w:pStyle w:val="FootnoteText"/>
      </w:pPr>
      <w:r>
        <w:rPr>
          <w:rStyle w:val="FootnoteReference"/>
        </w:rPr>
        <w:footnoteRef/>
      </w:r>
      <w:r>
        <w:t xml:space="preserve"> </w:t>
      </w:r>
      <w:r w:rsidRPr="008E38A4">
        <w:t>See the Comment for discussion of the choice between the phrases “motivating factor” and “negative factor.”</w:t>
      </w:r>
    </w:p>
  </w:footnote>
  <w:footnote w:id="16">
    <w:p w14:paraId="0E130762" w14:textId="77777777" w:rsidR="00617123" w:rsidRDefault="00617123"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7">
    <w:p w14:paraId="0B0F00AA" w14:textId="77777777" w:rsidR="00617123" w:rsidRDefault="00617123"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8">
    <w:p w14:paraId="1D77ECEB" w14:textId="49B006DC" w:rsidR="00617123" w:rsidRDefault="00617123">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9">
    <w:p w14:paraId="5736DDCE" w14:textId="77777777" w:rsidR="00617123" w:rsidRPr="00DA14F8" w:rsidRDefault="00617123" w:rsidP="00DA14F8">
      <w:pPr>
        <w:pStyle w:val="FootnoteText"/>
        <w:rPr>
          <w:szCs w:val="24"/>
        </w:rPr>
      </w:pPr>
      <w:r w:rsidRPr="00DA14F8">
        <w:rPr>
          <w:rStyle w:val="FootnoteReference"/>
          <w:szCs w:val="24"/>
        </w:rPr>
        <w:footnoteRef/>
      </w:r>
      <w:r w:rsidRPr="00DA14F8">
        <w:rPr>
          <w:szCs w:val="24"/>
        </w:rPr>
        <w:t xml:space="preserve"> See Comment for a discussion of adverse employment actions under the FMLA.</w:t>
      </w:r>
    </w:p>
  </w:footnote>
  <w:footnote w:id="20">
    <w:p w14:paraId="6F8AD172" w14:textId="42335FB6" w:rsidR="00617123" w:rsidRDefault="00617123">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r>
        <w:t xml:space="preserve"> </w:t>
      </w:r>
      <w:r w:rsidRPr="00886DDB">
        <w:t>See the Comment for discussion of the applicability of the same-decision defense to FMLA retaliation-for-exercise claims.</w:t>
      </w:r>
    </w:p>
  </w:footnote>
  <w:footnote w:id="21">
    <w:p w14:paraId="710375F1" w14:textId="07A39FF5" w:rsidR="00617123" w:rsidRPr="00F040CB" w:rsidRDefault="00617123"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Pr="0082754B">
        <w:rPr>
          <w:szCs w:val="24"/>
        </w:rPr>
        <w:t xml:space="preserve">; </w:t>
      </w:r>
      <w:r w:rsidRPr="00753858">
        <w:rPr>
          <w:i/>
          <w:szCs w:val="24"/>
        </w:rPr>
        <w:t>Hansler v. Lehigh Valley Hosp. Network</w:t>
      </w:r>
      <w:r w:rsidRPr="00753858">
        <w:rPr>
          <w:szCs w:val="24"/>
        </w:rPr>
        <w:t>, 798 F.3d 149, 158</w:t>
      </w:r>
      <w:r>
        <w:rPr>
          <w:szCs w:val="24"/>
        </w:rPr>
        <w:t>-59</w:t>
      </w:r>
      <w:r w:rsidRPr="00753858">
        <w:rPr>
          <w:szCs w:val="24"/>
        </w:rPr>
        <w:t xml:space="preserve"> (3d Cir. 2015)</w:t>
      </w:r>
      <w:r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22">
    <w:p w14:paraId="08BEE3C7" w14:textId="3E24E149" w:rsidR="00617123" w:rsidRDefault="00617123">
      <w:pPr>
        <w:pStyle w:val="FootnoteText"/>
      </w:pPr>
      <w:r>
        <w:rPr>
          <w:rStyle w:val="FootnoteReference"/>
        </w:rPr>
        <w:footnoteRef/>
      </w:r>
      <w:r>
        <w:t xml:space="preserve"> </w:t>
      </w:r>
      <w:r w:rsidRPr="00CC5277">
        <w:t xml:space="preserve">Comment 9.1.1 explains: “The ADA explicitly relies on the enforcement tools and remedies described in 42 U.S.C. § 2000e-(5). </w:t>
      </w:r>
      <w:r w:rsidRPr="00CC5277">
        <w:rPr>
          <w:i/>
        </w:rPr>
        <w:t>See</w:t>
      </w:r>
      <w:r w:rsidRPr="00CC5277">
        <w:t xml:space="preserve"> 42 U.S.C. § 12117(a). Therefore, a plaintiff in a ‘mixed-motives’ case under the ADA is not entitled to damages if the defendant proves that the adverse employment action would have been made even if disability had not been a motivating factor.”</w:t>
      </w:r>
    </w:p>
  </w:footnote>
  <w:footnote w:id="23">
    <w:p w14:paraId="13E13448" w14:textId="77777777" w:rsidR="00617123" w:rsidRDefault="00617123"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24">
    <w:p w14:paraId="419F5C89" w14:textId="77777777" w:rsidR="00617123" w:rsidRDefault="00617123" w:rsidP="00B96E4A">
      <w:pPr>
        <w:pStyle w:val="FootnoteText"/>
        <w:jc w:val="both"/>
      </w:pPr>
      <w:r w:rsidRPr="00B96E4A">
        <w:footnoteRef/>
      </w:r>
      <w:r>
        <w:t xml:space="preserve"> If the court wishes to give a more detailed instruction on the term “serious health condition,” one is provided in 10.2.1.</w:t>
      </w:r>
    </w:p>
  </w:footnote>
  <w:footnote w:id="25">
    <w:p w14:paraId="19ADDE52" w14:textId="77777777" w:rsidR="00617123" w:rsidRDefault="00617123"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6">
    <w:p w14:paraId="02C89343" w14:textId="77777777" w:rsidR="00617123" w:rsidRPr="00D52F15" w:rsidRDefault="00617123" w:rsidP="002F4556">
      <w:pPr>
        <w:pStyle w:val="FootnoteText"/>
        <w:rPr>
          <w:szCs w:val="24"/>
        </w:rPr>
      </w:pPr>
      <w:r w:rsidRPr="00D52F15">
        <w:rPr>
          <w:rStyle w:val="FootnoteReference"/>
          <w:szCs w:val="24"/>
          <w:vertAlign w:val="baseline"/>
        </w:rPr>
        <w:footnoteRef/>
      </w:r>
      <w:r w:rsidRPr="00D52F15">
        <w:rPr>
          <w:szCs w:val="24"/>
        </w:rPr>
        <w:t xml:space="preserve"> See Comment for a discussion of adverse employment actions under the FMLA.</w:t>
      </w:r>
    </w:p>
  </w:footnote>
  <w:footnote w:id="27">
    <w:p w14:paraId="324BF83B" w14:textId="77777777" w:rsidR="00617123" w:rsidRPr="0056209F" w:rsidRDefault="00617123"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617123" w:rsidRDefault="00617123" w:rsidP="00B57782">
      <w:pPr>
        <w:pStyle w:val="FootnoteText"/>
      </w:pPr>
    </w:p>
  </w:footnote>
  <w:footnote w:id="28">
    <w:p w14:paraId="78A3B4EB" w14:textId="72149CE5" w:rsidR="00617123" w:rsidRPr="00815329" w:rsidRDefault="00617123"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617123" w:rsidRPr="00815329" w:rsidRDefault="00617123" w:rsidP="00F408ED">
      <w:pPr>
        <w:pStyle w:val="FootnoteText"/>
        <w:rPr>
          <w:i/>
          <w:szCs w:val="24"/>
        </w:rPr>
      </w:pPr>
    </w:p>
    <w:p w14:paraId="02A7DA50" w14:textId="77777777" w:rsidR="00617123" w:rsidRPr="00DB06C3" w:rsidRDefault="00617123"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9">
    <w:p w14:paraId="3E36AE81" w14:textId="77777777" w:rsidR="00617123" w:rsidRDefault="00617123"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30">
    <w:p w14:paraId="620BD041" w14:textId="77777777" w:rsidR="00617123" w:rsidRPr="00DB06C3" w:rsidRDefault="00617123"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31">
    <w:p w14:paraId="52D165FA" w14:textId="364BCC68" w:rsidR="00617123" w:rsidRDefault="00617123" w:rsidP="00B96E4A">
      <w:pPr>
        <w:pStyle w:val="FootnoteText"/>
        <w:jc w:val="both"/>
      </w:pPr>
      <w:r w:rsidRPr="00617123">
        <w:rPr>
          <w:vertAlign w:val="superscript"/>
        </w:rPr>
        <w:footnoteRef/>
      </w:r>
      <w:r w:rsidRPr="00617123">
        <w:rPr>
          <w:vertAlign w:val="superscript"/>
        </w:rPr>
        <w:t xml:space="preserve"> </w:t>
      </w:r>
      <w:r>
        <w:t xml:space="preserve"> </w:t>
      </w:r>
      <w:r>
        <w:rPr>
          <w:i/>
        </w:rPr>
        <w:t>Kasten v. Saint-Gobain Performance Plastics Corp.</w:t>
      </w:r>
      <w:r>
        <w:t xml:space="preserve">, 563 U.S. 1 (2011), construed the Fair Labor Standards Act’s anti-retaliation provision and held that “the statutory term ‘filed any complaint’ includes oral as well as written complaints within its scope.”  </w:t>
      </w:r>
      <w:r>
        <w:rPr>
          <w:i/>
        </w:rPr>
        <w:t>Id.</w:t>
      </w:r>
      <w:r>
        <w:t xml:space="preserve"> at 4.  The Court did not state whether this holding has implications for the interpretation of the phrase “filed any charge” in the FMLA’s anti-retaliation provision.</w:t>
      </w:r>
    </w:p>
  </w:footnote>
  <w:footnote w:id="32">
    <w:p w14:paraId="637F8F47" w14:textId="77777777" w:rsidR="00617123" w:rsidRPr="00200BDF" w:rsidRDefault="00617123"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33">
    <w:p w14:paraId="34B7082E" w14:textId="4CF9E44E" w:rsidR="00617123" w:rsidRDefault="00617123" w:rsidP="00BF53E7">
      <w:pPr>
        <w:pStyle w:val="FootnoteText"/>
        <w:jc w:val="both"/>
      </w:pPr>
      <w:r>
        <w:rPr>
          <w:rStyle w:val="FootnoteReference"/>
        </w:rPr>
        <w:footnoteRef/>
      </w:r>
      <w:r>
        <w:t xml:space="preserve"> </w:t>
      </w:r>
      <w:r w:rsidRPr="00BF53E7">
        <w:rPr>
          <w:i/>
          <w:szCs w:val="24"/>
        </w:rPr>
        <w:t>Gillispie v. RegionalCare Hosp. Partners Inc</w:t>
      </w:r>
      <w:r w:rsidRPr="00BF53E7">
        <w:rPr>
          <w:szCs w:val="24"/>
        </w:rPr>
        <w:t xml:space="preserve">, 892 F.3d 585 (3d Cir. 2018), which interpreted the whistleblower-protection provision in the Emergency Medical Treatment and Active Labor Act (“EMTALA”), might shed some indirect light on the question whether protected conduct under the FMLA’s anti-retaliation provision includes communications made only to the employer and not to an outside authority.  In </w:t>
      </w:r>
      <w:r w:rsidRPr="00BF53E7">
        <w:rPr>
          <w:i/>
          <w:szCs w:val="24"/>
        </w:rPr>
        <w:t>Gillispie</w:t>
      </w:r>
      <w:r w:rsidRPr="00BF53E7">
        <w:rPr>
          <w:szCs w:val="24"/>
        </w:rPr>
        <w:t xml:space="preserve">, the court ruled that the EMTALA provision does extend to purely internal reports, both because the EMTALA provision contains no reference to “official” reports and because a contrary ruling would incentivize employers to fire employees before they had an opportunity to take their report to an outside authority.  </w:t>
      </w:r>
      <w:r w:rsidRPr="00BF53E7">
        <w:rPr>
          <w:i/>
          <w:szCs w:val="24"/>
        </w:rPr>
        <w:t>Gillispie</w:t>
      </w:r>
      <w:r w:rsidRPr="00BF53E7">
        <w:rPr>
          <w:szCs w:val="24"/>
        </w:rPr>
        <w:t>, 892 F.3d at 596-97.</w:t>
      </w:r>
    </w:p>
  </w:footnote>
  <w:footnote w:id="34">
    <w:p w14:paraId="5C7106FE" w14:textId="77777777" w:rsidR="00617123" w:rsidRPr="002314DA" w:rsidRDefault="00617123"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35">
    <w:p w14:paraId="4641FCDD" w14:textId="77777777" w:rsidR="00617123" w:rsidRDefault="00617123"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36">
    <w:p w14:paraId="10D454C1" w14:textId="77777777" w:rsidR="00617123" w:rsidRPr="003E6682" w:rsidRDefault="00617123"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37">
    <w:p w14:paraId="1785B148" w14:textId="77777777" w:rsidR="00617123" w:rsidRDefault="00617123" w:rsidP="00221591">
      <w:pPr>
        <w:pStyle w:val="FootnoteText"/>
      </w:pPr>
      <w:r>
        <w:rPr>
          <w:rStyle w:val="FootnoteReference"/>
        </w:rPr>
        <w:footnoteRef/>
      </w:r>
      <w:r>
        <w:t xml:space="preserve"> </w:t>
      </w:r>
      <w:r w:rsidRPr="00AF4E7B">
        <w:rPr>
          <w:i/>
          <w:szCs w:val="24"/>
        </w:rPr>
        <w:t>Cf. DiFiore v. CSL Behring, LLC</w:t>
      </w:r>
      <w:r w:rsidRPr="00AF4E7B">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AF4E7B">
        <w:rPr>
          <w:i/>
          <w:szCs w:val="24"/>
        </w:rPr>
        <w:t>Nassar</w:t>
      </w:r>
      <w:r w:rsidRPr="00AF4E7B">
        <w:rPr>
          <w:szCs w:val="24"/>
        </w:rPr>
        <w:t xml:space="preserve"> and </w:t>
      </w:r>
      <w:r w:rsidRPr="00AF4E7B">
        <w:rPr>
          <w:i/>
          <w:szCs w:val="24"/>
        </w:rPr>
        <w:t>Gross</w:t>
      </w:r>
      <w:r w:rsidRPr="00AF4E7B">
        <w:rPr>
          <w:szCs w:val="24"/>
        </w:rPr>
        <w:t>”).</w:t>
      </w:r>
    </w:p>
  </w:footnote>
  <w:footnote w:id="38">
    <w:p w14:paraId="2F721FE2" w14:textId="27445359" w:rsidR="00617123" w:rsidRDefault="00617123">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9">
    <w:p w14:paraId="6C8E8A57" w14:textId="77777777" w:rsidR="00617123" w:rsidRDefault="00617123"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617123" w:rsidRDefault="00617123" w:rsidP="00B96E4A">
      <w:pPr>
        <w:widowControl w:val="0"/>
        <w:jc w:val="both"/>
      </w:pPr>
      <w:r>
        <w:t>the relevant period is 26 weeks rather than 12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3F00" w14:textId="77777777" w:rsidR="00617123" w:rsidRDefault="00617123" w:rsidP="00B96E4A">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195E" w14:textId="56062B3B"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617123" w:rsidRDefault="00617123" w:rsidP="0072581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6B05" w14:textId="5059FBF7"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617123" w:rsidRDefault="00617123" w:rsidP="0072581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9C4" w14:textId="1F76C5C4"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617123" w:rsidRDefault="00617123" w:rsidP="0072581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E739" w14:textId="3E9189B3"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617123" w:rsidRDefault="00617123" w:rsidP="0072581A">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DAE1" w14:textId="3A5CEFD3"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617123" w:rsidRDefault="00617123" w:rsidP="0072581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7064" w14:textId="1E0121B9"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617123" w:rsidRDefault="00617123" w:rsidP="0072581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4A57" w14:textId="77777777" w:rsidR="00617123" w:rsidRDefault="00617123" w:rsidP="0072581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8E58" w14:textId="77777777"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617123" w:rsidRDefault="00617123" w:rsidP="0072581A">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4433" w14:textId="31DDF4AF"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617123" w:rsidRDefault="00617123" w:rsidP="0072581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50FA" w14:textId="7FD6C411"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617123" w:rsidRDefault="00617123" w:rsidP="0072581A">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AD1C" w14:textId="579817A8"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617123" w:rsidRDefault="00617123" w:rsidP="0072581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9718" w14:textId="24D71209"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617123" w:rsidRDefault="00617123" w:rsidP="0072581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A95A" w14:textId="77777777"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617123" w:rsidRDefault="00617123" w:rsidP="0072581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E8AE" w14:textId="77777777" w:rsidR="00617123" w:rsidRPr="0072581A" w:rsidRDefault="00617123"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617123" w:rsidRDefault="00617123"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3"/>
    <w:rsid w:val="00021735"/>
    <w:rsid w:val="00024B99"/>
    <w:rsid w:val="00025B28"/>
    <w:rsid w:val="00027BA1"/>
    <w:rsid w:val="000313E3"/>
    <w:rsid w:val="00035F03"/>
    <w:rsid w:val="00042664"/>
    <w:rsid w:val="000517FB"/>
    <w:rsid w:val="000540EA"/>
    <w:rsid w:val="00055921"/>
    <w:rsid w:val="00067FBE"/>
    <w:rsid w:val="00080947"/>
    <w:rsid w:val="000904AF"/>
    <w:rsid w:val="00090A79"/>
    <w:rsid w:val="0009381B"/>
    <w:rsid w:val="000964AE"/>
    <w:rsid w:val="00096EC5"/>
    <w:rsid w:val="000A311E"/>
    <w:rsid w:val="000B3166"/>
    <w:rsid w:val="000B34D8"/>
    <w:rsid w:val="001002EF"/>
    <w:rsid w:val="00100E89"/>
    <w:rsid w:val="00102C5C"/>
    <w:rsid w:val="001069C9"/>
    <w:rsid w:val="0011288F"/>
    <w:rsid w:val="00112A75"/>
    <w:rsid w:val="001174B4"/>
    <w:rsid w:val="00121FBF"/>
    <w:rsid w:val="00124217"/>
    <w:rsid w:val="00127A0C"/>
    <w:rsid w:val="001332C7"/>
    <w:rsid w:val="00145C68"/>
    <w:rsid w:val="0014710D"/>
    <w:rsid w:val="001475DF"/>
    <w:rsid w:val="00152994"/>
    <w:rsid w:val="00155C00"/>
    <w:rsid w:val="00157F9F"/>
    <w:rsid w:val="00172D83"/>
    <w:rsid w:val="00175BBC"/>
    <w:rsid w:val="001763FE"/>
    <w:rsid w:val="0018272D"/>
    <w:rsid w:val="00190614"/>
    <w:rsid w:val="00193AB4"/>
    <w:rsid w:val="00196086"/>
    <w:rsid w:val="001D3D12"/>
    <w:rsid w:val="001D5FA8"/>
    <w:rsid w:val="001D6709"/>
    <w:rsid w:val="001E354A"/>
    <w:rsid w:val="001E3BE2"/>
    <w:rsid w:val="001E4102"/>
    <w:rsid w:val="001F5315"/>
    <w:rsid w:val="001F5A69"/>
    <w:rsid w:val="002004EC"/>
    <w:rsid w:val="00200BDF"/>
    <w:rsid w:val="00203093"/>
    <w:rsid w:val="002054B9"/>
    <w:rsid w:val="00221591"/>
    <w:rsid w:val="002238D2"/>
    <w:rsid w:val="00224DBA"/>
    <w:rsid w:val="002314DA"/>
    <w:rsid w:val="00231A7A"/>
    <w:rsid w:val="00232354"/>
    <w:rsid w:val="002374DB"/>
    <w:rsid w:val="002460E9"/>
    <w:rsid w:val="0025251F"/>
    <w:rsid w:val="00252BF2"/>
    <w:rsid w:val="00252ECF"/>
    <w:rsid w:val="00252FC3"/>
    <w:rsid w:val="002539DF"/>
    <w:rsid w:val="00263490"/>
    <w:rsid w:val="00263C2B"/>
    <w:rsid w:val="0027128C"/>
    <w:rsid w:val="00272957"/>
    <w:rsid w:val="00274824"/>
    <w:rsid w:val="00277457"/>
    <w:rsid w:val="00281F02"/>
    <w:rsid w:val="002969FE"/>
    <w:rsid w:val="002A31D5"/>
    <w:rsid w:val="002A67D4"/>
    <w:rsid w:val="002A6BBC"/>
    <w:rsid w:val="002B773A"/>
    <w:rsid w:val="002B78F6"/>
    <w:rsid w:val="002C107A"/>
    <w:rsid w:val="002C64CB"/>
    <w:rsid w:val="002D4596"/>
    <w:rsid w:val="002D7FD3"/>
    <w:rsid w:val="002E4CB3"/>
    <w:rsid w:val="002F2BFC"/>
    <w:rsid w:val="002F4411"/>
    <w:rsid w:val="002F4556"/>
    <w:rsid w:val="00301969"/>
    <w:rsid w:val="003109FA"/>
    <w:rsid w:val="00311C3E"/>
    <w:rsid w:val="0031478A"/>
    <w:rsid w:val="003174D3"/>
    <w:rsid w:val="00323781"/>
    <w:rsid w:val="00330C59"/>
    <w:rsid w:val="0034624F"/>
    <w:rsid w:val="00357B3C"/>
    <w:rsid w:val="00362492"/>
    <w:rsid w:val="003661E5"/>
    <w:rsid w:val="00371FEC"/>
    <w:rsid w:val="00372EFB"/>
    <w:rsid w:val="00373007"/>
    <w:rsid w:val="00373A0F"/>
    <w:rsid w:val="00374CF1"/>
    <w:rsid w:val="003814E7"/>
    <w:rsid w:val="0039202B"/>
    <w:rsid w:val="003B1D2F"/>
    <w:rsid w:val="003B2EBF"/>
    <w:rsid w:val="003B3FB9"/>
    <w:rsid w:val="003B5FFA"/>
    <w:rsid w:val="003B6E32"/>
    <w:rsid w:val="003D2930"/>
    <w:rsid w:val="003E6682"/>
    <w:rsid w:val="003F2443"/>
    <w:rsid w:val="003F4918"/>
    <w:rsid w:val="003F7FF8"/>
    <w:rsid w:val="004018B6"/>
    <w:rsid w:val="00403A9C"/>
    <w:rsid w:val="004071A0"/>
    <w:rsid w:val="00407728"/>
    <w:rsid w:val="00424488"/>
    <w:rsid w:val="0042544D"/>
    <w:rsid w:val="00430F9F"/>
    <w:rsid w:val="00436FD9"/>
    <w:rsid w:val="00442E56"/>
    <w:rsid w:val="0044713B"/>
    <w:rsid w:val="00455D16"/>
    <w:rsid w:val="00456D9D"/>
    <w:rsid w:val="004602A2"/>
    <w:rsid w:val="004633B0"/>
    <w:rsid w:val="00463A3A"/>
    <w:rsid w:val="00464C9A"/>
    <w:rsid w:val="00475D22"/>
    <w:rsid w:val="004774F3"/>
    <w:rsid w:val="004842E9"/>
    <w:rsid w:val="004844C8"/>
    <w:rsid w:val="00491502"/>
    <w:rsid w:val="00492AED"/>
    <w:rsid w:val="00497AB4"/>
    <w:rsid w:val="004A1116"/>
    <w:rsid w:val="004B0F56"/>
    <w:rsid w:val="004C497E"/>
    <w:rsid w:val="004C5CB2"/>
    <w:rsid w:val="004D1880"/>
    <w:rsid w:val="004D41AF"/>
    <w:rsid w:val="004F1FE7"/>
    <w:rsid w:val="004F7A1B"/>
    <w:rsid w:val="0050196F"/>
    <w:rsid w:val="00501ECB"/>
    <w:rsid w:val="00504C7B"/>
    <w:rsid w:val="005210ED"/>
    <w:rsid w:val="0052239D"/>
    <w:rsid w:val="00522AE2"/>
    <w:rsid w:val="00523FFE"/>
    <w:rsid w:val="0053455E"/>
    <w:rsid w:val="00534EA1"/>
    <w:rsid w:val="00536E3F"/>
    <w:rsid w:val="005431F9"/>
    <w:rsid w:val="00546121"/>
    <w:rsid w:val="00551304"/>
    <w:rsid w:val="00554D59"/>
    <w:rsid w:val="00557504"/>
    <w:rsid w:val="00560340"/>
    <w:rsid w:val="00560A48"/>
    <w:rsid w:val="0056264D"/>
    <w:rsid w:val="0056439E"/>
    <w:rsid w:val="0056526E"/>
    <w:rsid w:val="00570E59"/>
    <w:rsid w:val="00575583"/>
    <w:rsid w:val="0057796D"/>
    <w:rsid w:val="00587C7F"/>
    <w:rsid w:val="005B0EAB"/>
    <w:rsid w:val="005B13E9"/>
    <w:rsid w:val="005B204D"/>
    <w:rsid w:val="005B4608"/>
    <w:rsid w:val="005C1C73"/>
    <w:rsid w:val="005C2882"/>
    <w:rsid w:val="005E3FC4"/>
    <w:rsid w:val="00601BBE"/>
    <w:rsid w:val="00613CDE"/>
    <w:rsid w:val="006154EC"/>
    <w:rsid w:val="00617040"/>
    <w:rsid w:val="00617123"/>
    <w:rsid w:val="00621BB0"/>
    <w:rsid w:val="0063585B"/>
    <w:rsid w:val="0063714F"/>
    <w:rsid w:val="006373E2"/>
    <w:rsid w:val="00637F36"/>
    <w:rsid w:val="006474C6"/>
    <w:rsid w:val="0065181F"/>
    <w:rsid w:val="006532CE"/>
    <w:rsid w:val="006541C8"/>
    <w:rsid w:val="00655EAA"/>
    <w:rsid w:val="00657B2B"/>
    <w:rsid w:val="006701D2"/>
    <w:rsid w:val="0068572E"/>
    <w:rsid w:val="00691654"/>
    <w:rsid w:val="006959FD"/>
    <w:rsid w:val="006975A5"/>
    <w:rsid w:val="006A230F"/>
    <w:rsid w:val="006A6B32"/>
    <w:rsid w:val="006B3E70"/>
    <w:rsid w:val="006B72E4"/>
    <w:rsid w:val="006C3BE2"/>
    <w:rsid w:val="006C7F28"/>
    <w:rsid w:val="006D23D1"/>
    <w:rsid w:val="006E549A"/>
    <w:rsid w:val="006E54B2"/>
    <w:rsid w:val="006E5693"/>
    <w:rsid w:val="006E5D71"/>
    <w:rsid w:val="006E7475"/>
    <w:rsid w:val="00705E13"/>
    <w:rsid w:val="00705E77"/>
    <w:rsid w:val="00721272"/>
    <w:rsid w:val="0072581A"/>
    <w:rsid w:val="00732B6A"/>
    <w:rsid w:val="0073318A"/>
    <w:rsid w:val="007343A6"/>
    <w:rsid w:val="0073519A"/>
    <w:rsid w:val="00742C50"/>
    <w:rsid w:val="0074393B"/>
    <w:rsid w:val="007511AD"/>
    <w:rsid w:val="00753858"/>
    <w:rsid w:val="00763D99"/>
    <w:rsid w:val="0077112C"/>
    <w:rsid w:val="007A1433"/>
    <w:rsid w:val="007A5C8E"/>
    <w:rsid w:val="007C56C6"/>
    <w:rsid w:val="007D1CEF"/>
    <w:rsid w:val="007D2A09"/>
    <w:rsid w:val="007D4393"/>
    <w:rsid w:val="007E35AD"/>
    <w:rsid w:val="007E4052"/>
    <w:rsid w:val="007F32F8"/>
    <w:rsid w:val="007F37A4"/>
    <w:rsid w:val="007F443A"/>
    <w:rsid w:val="007F659A"/>
    <w:rsid w:val="007F6C30"/>
    <w:rsid w:val="007F7FD2"/>
    <w:rsid w:val="00805180"/>
    <w:rsid w:val="008061F6"/>
    <w:rsid w:val="00811456"/>
    <w:rsid w:val="00814C89"/>
    <w:rsid w:val="00815329"/>
    <w:rsid w:val="00820F46"/>
    <w:rsid w:val="008226F0"/>
    <w:rsid w:val="00824AA2"/>
    <w:rsid w:val="00825382"/>
    <w:rsid w:val="0082610F"/>
    <w:rsid w:val="0082754B"/>
    <w:rsid w:val="00841CB5"/>
    <w:rsid w:val="0085022D"/>
    <w:rsid w:val="008528E5"/>
    <w:rsid w:val="0085637F"/>
    <w:rsid w:val="0086723D"/>
    <w:rsid w:val="008676C9"/>
    <w:rsid w:val="008735E5"/>
    <w:rsid w:val="00877B90"/>
    <w:rsid w:val="008826C5"/>
    <w:rsid w:val="00886DDB"/>
    <w:rsid w:val="00886F5F"/>
    <w:rsid w:val="00896394"/>
    <w:rsid w:val="008A1B05"/>
    <w:rsid w:val="008A2553"/>
    <w:rsid w:val="008B494B"/>
    <w:rsid w:val="008C1A5D"/>
    <w:rsid w:val="008D2D7D"/>
    <w:rsid w:val="008D3F01"/>
    <w:rsid w:val="008D628F"/>
    <w:rsid w:val="008E38A4"/>
    <w:rsid w:val="008E66DA"/>
    <w:rsid w:val="008E7FCC"/>
    <w:rsid w:val="00903572"/>
    <w:rsid w:val="00915A6F"/>
    <w:rsid w:val="00922BEE"/>
    <w:rsid w:val="009252AA"/>
    <w:rsid w:val="009274A6"/>
    <w:rsid w:val="00931970"/>
    <w:rsid w:val="00931AFD"/>
    <w:rsid w:val="00935810"/>
    <w:rsid w:val="00937360"/>
    <w:rsid w:val="00945640"/>
    <w:rsid w:val="009458D9"/>
    <w:rsid w:val="00953AD7"/>
    <w:rsid w:val="00961F7C"/>
    <w:rsid w:val="009706BB"/>
    <w:rsid w:val="009723B8"/>
    <w:rsid w:val="009834BF"/>
    <w:rsid w:val="00987C84"/>
    <w:rsid w:val="009A300E"/>
    <w:rsid w:val="009A495B"/>
    <w:rsid w:val="009B1E6D"/>
    <w:rsid w:val="009B27ED"/>
    <w:rsid w:val="009B7D24"/>
    <w:rsid w:val="009C0961"/>
    <w:rsid w:val="009C5F53"/>
    <w:rsid w:val="009C6F31"/>
    <w:rsid w:val="009D3B3B"/>
    <w:rsid w:val="009E4352"/>
    <w:rsid w:val="009E495E"/>
    <w:rsid w:val="00A029C4"/>
    <w:rsid w:val="00A0686A"/>
    <w:rsid w:val="00A12E1A"/>
    <w:rsid w:val="00A14752"/>
    <w:rsid w:val="00A210BE"/>
    <w:rsid w:val="00A32361"/>
    <w:rsid w:val="00A33A41"/>
    <w:rsid w:val="00A34B2D"/>
    <w:rsid w:val="00A364B8"/>
    <w:rsid w:val="00A40235"/>
    <w:rsid w:val="00A420A9"/>
    <w:rsid w:val="00A42A76"/>
    <w:rsid w:val="00A55ED6"/>
    <w:rsid w:val="00A60DEB"/>
    <w:rsid w:val="00A72B8B"/>
    <w:rsid w:val="00A7402E"/>
    <w:rsid w:val="00A828F5"/>
    <w:rsid w:val="00A8601C"/>
    <w:rsid w:val="00AA0D90"/>
    <w:rsid w:val="00AA2BAD"/>
    <w:rsid w:val="00AA751C"/>
    <w:rsid w:val="00AB03C3"/>
    <w:rsid w:val="00AB709B"/>
    <w:rsid w:val="00AB748C"/>
    <w:rsid w:val="00AC0E05"/>
    <w:rsid w:val="00AC0FFC"/>
    <w:rsid w:val="00AC26B3"/>
    <w:rsid w:val="00AC514B"/>
    <w:rsid w:val="00AD32E1"/>
    <w:rsid w:val="00AD6B21"/>
    <w:rsid w:val="00AD7A87"/>
    <w:rsid w:val="00AE0135"/>
    <w:rsid w:val="00AE5E84"/>
    <w:rsid w:val="00AF4E7B"/>
    <w:rsid w:val="00AF52BE"/>
    <w:rsid w:val="00B01AE0"/>
    <w:rsid w:val="00B01F99"/>
    <w:rsid w:val="00B0638C"/>
    <w:rsid w:val="00B12616"/>
    <w:rsid w:val="00B15813"/>
    <w:rsid w:val="00B232CB"/>
    <w:rsid w:val="00B342FF"/>
    <w:rsid w:val="00B362EB"/>
    <w:rsid w:val="00B43377"/>
    <w:rsid w:val="00B4350F"/>
    <w:rsid w:val="00B43793"/>
    <w:rsid w:val="00B4511C"/>
    <w:rsid w:val="00B54049"/>
    <w:rsid w:val="00B57782"/>
    <w:rsid w:val="00B76BE4"/>
    <w:rsid w:val="00B80F83"/>
    <w:rsid w:val="00B84500"/>
    <w:rsid w:val="00B96E4A"/>
    <w:rsid w:val="00BB31E8"/>
    <w:rsid w:val="00BC1A8E"/>
    <w:rsid w:val="00BC4EF0"/>
    <w:rsid w:val="00BD2467"/>
    <w:rsid w:val="00BD4B1F"/>
    <w:rsid w:val="00BE7484"/>
    <w:rsid w:val="00BF0138"/>
    <w:rsid w:val="00BF4724"/>
    <w:rsid w:val="00BF53E7"/>
    <w:rsid w:val="00C0051B"/>
    <w:rsid w:val="00C071F5"/>
    <w:rsid w:val="00C1528E"/>
    <w:rsid w:val="00C17857"/>
    <w:rsid w:val="00C34BD3"/>
    <w:rsid w:val="00C35873"/>
    <w:rsid w:val="00C36A1D"/>
    <w:rsid w:val="00C377A0"/>
    <w:rsid w:val="00C51829"/>
    <w:rsid w:val="00C5365C"/>
    <w:rsid w:val="00C57889"/>
    <w:rsid w:val="00C605F0"/>
    <w:rsid w:val="00C61BE6"/>
    <w:rsid w:val="00C9001F"/>
    <w:rsid w:val="00C940EA"/>
    <w:rsid w:val="00CA3155"/>
    <w:rsid w:val="00CA31F9"/>
    <w:rsid w:val="00CB27AE"/>
    <w:rsid w:val="00CC5277"/>
    <w:rsid w:val="00CD13C1"/>
    <w:rsid w:val="00CD1ABC"/>
    <w:rsid w:val="00CD21E8"/>
    <w:rsid w:val="00CD3164"/>
    <w:rsid w:val="00CD55AD"/>
    <w:rsid w:val="00CE01D4"/>
    <w:rsid w:val="00CE7873"/>
    <w:rsid w:val="00CF726C"/>
    <w:rsid w:val="00D03DF7"/>
    <w:rsid w:val="00D0678D"/>
    <w:rsid w:val="00D118E8"/>
    <w:rsid w:val="00D11972"/>
    <w:rsid w:val="00D131DF"/>
    <w:rsid w:val="00D15378"/>
    <w:rsid w:val="00D17EC2"/>
    <w:rsid w:val="00D3733D"/>
    <w:rsid w:val="00D43DA0"/>
    <w:rsid w:val="00D4429A"/>
    <w:rsid w:val="00D44404"/>
    <w:rsid w:val="00D4741A"/>
    <w:rsid w:val="00D52F15"/>
    <w:rsid w:val="00D67362"/>
    <w:rsid w:val="00D75953"/>
    <w:rsid w:val="00D7787F"/>
    <w:rsid w:val="00D81477"/>
    <w:rsid w:val="00D876C6"/>
    <w:rsid w:val="00D9701E"/>
    <w:rsid w:val="00DA0347"/>
    <w:rsid w:val="00DA07E9"/>
    <w:rsid w:val="00DA14F8"/>
    <w:rsid w:val="00DD3A39"/>
    <w:rsid w:val="00DE3881"/>
    <w:rsid w:val="00DE5F54"/>
    <w:rsid w:val="00DE616B"/>
    <w:rsid w:val="00DF1C14"/>
    <w:rsid w:val="00DF3239"/>
    <w:rsid w:val="00DF5020"/>
    <w:rsid w:val="00E00BC7"/>
    <w:rsid w:val="00E01AA2"/>
    <w:rsid w:val="00E13BD1"/>
    <w:rsid w:val="00E17F6E"/>
    <w:rsid w:val="00E20BBF"/>
    <w:rsid w:val="00E26200"/>
    <w:rsid w:val="00E26B2E"/>
    <w:rsid w:val="00E27774"/>
    <w:rsid w:val="00E3188C"/>
    <w:rsid w:val="00E31D28"/>
    <w:rsid w:val="00E365D8"/>
    <w:rsid w:val="00E4276F"/>
    <w:rsid w:val="00E5121F"/>
    <w:rsid w:val="00E53A12"/>
    <w:rsid w:val="00E550AF"/>
    <w:rsid w:val="00E57128"/>
    <w:rsid w:val="00E610A4"/>
    <w:rsid w:val="00E611F4"/>
    <w:rsid w:val="00E62BEC"/>
    <w:rsid w:val="00E6348F"/>
    <w:rsid w:val="00E644B0"/>
    <w:rsid w:val="00E8599D"/>
    <w:rsid w:val="00E93443"/>
    <w:rsid w:val="00E948DB"/>
    <w:rsid w:val="00E949F2"/>
    <w:rsid w:val="00E95C42"/>
    <w:rsid w:val="00E96E9E"/>
    <w:rsid w:val="00E976ED"/>
    <w:rsid w:val="00EA0D74"/>
    <w:rsid w:val="00EB51E8"/>
    <w:rsid w:val="00EC59F9"/>
    <w:rsid w:val="00EC6CF7"/>
    <w:rsid w:val="00ED1B0E"/>
    <w:rsid w:val="00ED1BAE"/>
    <w:rsid w:val="00EE618D"/>
    <w:rsid w:val="00EF1766"/>
    <w:rsid w:val="00EF34E8"/>
    <w:rsid w:val="00EF42E4"/>
    <w:rsid w:val="00F040CB"/>
    <w:rsid w:val="00F04D1D"/>
    <w:rsid w:val="00F05A89"/>
    <w:rsid w:val="00F10FF7"/>
    <w:rsid w:val="00F20709"/>
    <w:rsid w:val="00F215C6"/>
    <w:rsid w:val="00F2194B"/>
    <w:rsid w:val="00F269BF"/>
    <w:rsid w:val="00F27D8C"/>
    <w:rsid w:val="00F30FE0"/>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D094C"/>
    <w:rsid w:val="00FD46EB"/>
    <w:rsid w:val="00FE6A36"/>
    <w:rsid w:val="00FF381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47EA-BEDB-4D0B-A8EA-0CEE5B1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21329</Words>
  <Characters>121578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2021-08-04T12:19:00Z</dcterms:created>
  <dcterms:modified xsi:type="dcterms:W3CDTF">2021-08-04T12:32:00Z</dcterms:modified>
</cp:coreProperties>
</file>